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38E" w:rsidRDefault="00DF238E" w:rsidP="00107DC3">
      <w:pPr>
        <w:spacing w:before="0" w:after="0" w:line="240" w:lineRule="auto"/>
      </w:pPr>
      <w:bookmarkStart w:id="0" w:name="_GoBack"/>
      <w:bookmarkEnd w:id="0"/>
    </w:p>
    <w:p w:rsidR="00DF238E" w:rsidRPr="003A38E8" w:rsidRDefault="00DF238E" w:rsidP="00BB3E3E">
      <w:pPr>
        <w:spacing w:after="120" w:line="240" w:lineRule="auto"/>
      </w:pPr>
      <w:r w:rsidRPr="003A38E8">
        <w:t>Este</w:t>
      </w:r>
      <w:r w:rsidRPr="00105C18">
        <w:t xml:space="preserve"> Anexo</w:t>
      </w:r>
      <w:r w:rsidRPr="003A38E8">
        <w:t xml:space="preserve"> aporta datos genéricos </w:t>
      </w:r>
      <w:r>
        <w:t xml:space="preserve">de la industria recogidos en publicaciones de reconocido </w:t>
      </w:r>
      <w:r w:rsidRPr="00A42440">
        <w:t>prestigio en el sector del petróleo y gas como Centre for Chemical Process Safety (CCPS), BEVI, Purple Book, OREDA, AMINAL, SINTEF, que pueden ser útiles durante el estudio LOPA de funciones instrumentadas de seguridad:</w:t>
      </w:r>
    </w:p>
    <w:p w:rsidR="00DF238E" w:rsidRDefault="00DF238E" w:rsidP="00BB3E3E">
      <w:pPr>
        <w:numPr>
          <w:ilvl w:val="0"/>
          <w:numId w:val="9"/>
        </w:numPr>
        <w:tabs>
          <w:tab w:val="clear" w:pos="1287"/>
          <w:tab w:val="num" w:pos="720"/>
        </w:tabs>
        <w:spacing w:before="0" w:after="0" w:line="240" w:lineRule="auto"/>
        <w:ind w:left="714" w:hanging="357"/>
      </w:pPr>
      <w:r>
        <w:t>F</w:t>
      </w:r>
      <w:r w:rsidRPr="003A38E8">
        <w:t xml:space="preserve">recuencia de </w:t>
      </w:r>
      <w:r>
        <w:t>evento</w:t>
      </w:r>
      <w:r w:rsidRPr="003A38E8">
        <w:t>s iniciadores</w:t>
      </w:r>
      <w:r>
        <w:t>.</w:t>
      </w:r>
    </w:p>
    <w:p w:rsidR="00DF238E" w:rsidRPr="003A38E8" w:rsidRDefault="00DF238E" w:rsidP="00BB3E3E">
      <w:pPr>
        <w:numPr>
          <w:ilvl w:val="0"/>
          <w:numId w:val="9"/>
        </w:numPr>
        <w:tabs>
          <w:tab w:val="clear" w:pos="1287"/>
          <w:tab w:val="num" w:pos="720"/>
        </w:tabs>
        <w:spacing w:before="0" w:after="0" w:line="240" w:lineRule="auto"/>
        <w:ind w:left="714" w:hanging="357"/>
      </w:pPr>
      <w:r>
        <w:t>Probabilidad de eventos condicionantes.</w:t>
      </w:r>
    </w:p>
    <w:p w:rsidR="00DF238E" w:rsidRPr="003A38E8" w:rsidRDefault="00DF238E" w:rsidP="00107DC3">
      <w:pPr>
        <w:numPr>
          <w:ilvl w:val="0"/>
          <w:numId w:val="9"/>
        </w:numPr>
        <w:tabs>
          <w:tab w:val="clear" w:pos="1287"/>
          <w:tab w:val="num" w:pos="720"/>
        </w:tabs>
        <w:spacing w:before="0" w:after="0" w:line="240" w:lineRule="auto"/>
        <w:ind w:left="720"/>
      </w:pPr>
      <w:r>
        <w:t>P</w:t>
      </w:r>
      <w:r w:rsidRPr="003A38E8">
        <w:t xml:space="preserve">robabilidad de fallo </w:t>
      </w:r>
      <w:r>
        <w:t xml:space="preserve">en demanda </w:t>
      </w:r>
      <w:r w:rsidRPr="003A38E8">
        <w:t xml:space="preserve">de capas de protección independiente </w:t>
      </w:r>
      <w:r>
        <w:t>IPL</w:t>
      </w:r>
      <w:r w:rsidRPr="003A38E8">
        <w:t xml:space="preserve">. </w:t>
      </w:r>
    </w:p>
    <w:p w:rsidR="00DF238E" w:rsidRDefault="00DF238E" w:rsidP="00107DC3">
      <w:pPr>
        <w:spacing w:before="0" w:after="0" w:line="240" w:lineRule="auto"/>
        <w:jc w:val="center"/>
      </w:pPr>
    </w:p>
    <w:tbl>
      <w:tblPr>
        <w:tblW w:w="9354" w:type="dxa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ook w:val="0000" w:firstRow="0" w:lastRow="0" w:firstColumn="0" w:lastColumn="0" w:noHBand="0" w:noVBand="0"/>
      </w:tblPr>
      <w:tblGrid>
        <w:gridCol w:w="5102"/>
        <w:gridCol w:w="1417"/>
        <w:gridCol w:w="1417"/>
        <w:gridCol w:w="1418"/>
      </w:tblGrid>
      <w:tr w:rsidR="00DF238E" w:rsidRPr="00BB3E3E" w:rsidTr="00CE2762">
        <w:trPr>
          <w:trHeight w:val="425"/>
          <w:jc w:val="center"/>
        </w:trPr>
        <w:tc>
          <w:tcPr>
            <w:tcW w:w="9354" w:type="dxa"/>
            <w:gridSpan w:val="4"/>
            <w:shd w:val="clear" w:color="auto" w:fill="000080"/>
            <w:vAlign w:val="center"/>
          </w:tcPr>
          <w:p w:rsidR="00DF238E" w:rsidRPr="00BB3E3E" w:rsidRDefault="00DF238E" w:rsidP="00CE2762">
            <w:pPr>
              <w:spacing w:before="0"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  <w:lang w:val="es-ES_tradnl"/>
              </w:rPr>
            </w:pPr>
            <w:r>
              <w:rPr>
                <w:b/>
                <w:bCs/>
                <w:color w:val="FFFFFF"/>
                <w:sz w:val="20"/>
                <w:szCs w:val="20"/>
                <w:lang w:val="es-ES_tradnl"/>
              </w:rPr>
              <w:t>Tabla A1: Frecuencia típica de e</w:t>
            </w:r>
            <w:r w:rsidRPr="00BB3E3E">
              <w:rPr>
                <w:b/>
                <w:bCs/>
                <w:color w:val="FFFFFF"/>
                <w:sz w:val="20"/>
                <w:szCs w:val="20"/>
                <w:lang w:val="es-ES_tradnl"/>
              </w:rPr>
              <w:t>ventos iniciadores</w:t>
            </w:r>
          </w:p>
        </w:tc>
      </w:tr>
      <w:tr w:rsidR="00DF238E" w:rsidRPr="00BB3E3E" w:rsidTr="00064933">
        <w:trPr>
          <w:trHeight w:val="454"/>
          <w:jc w:val="center"/>
        </w:trPr>
        <w:tc>
          <w:tcPr>
            <w:tcW w:w="5102" w:type="dxa"/>
            <w:shd w:val="clear" w:color="auto" w:fill="E6E6E6"/>
            <w:vAlign w:val="center"/>
          </w:tcPr>
          <w:p w:rsidR="00DF238E" w:rsidRPr="00CE2762" w:rsidRDefault="00DF238E" w:rsidP="00BB3E3E">
            <w:pPr>
              <w:spacing w:before="0" w:after="0" w:line="240" w:lineRule="auto"/>
              <w:ind w:left="18"/>
              <w:jc w:val="center"/>
              <w:rPr>
                <w:b/>
                <w:bCs/>
                <w:color w:val="000080"/>
                <w:sz w:val="18"/>
                <w:szCs w:val="18"/>
                <w:lang w:val="es-ES_tradnl"/>
              </w:rPr>
            </w:pPr>
            <w:r w:rsidRPr="00CE2762">
              <w:rPr>
                <w:b/>
                <w:bCs/>
                <w:color w:val="000080"/>
                <w:sz w:val="18"/>
                <w:szCs w:val="18"/>
                <w:lang w:val="es-ES_tradnl"/>
              </w:rPr>
              <w:t>Descripción</w:t>
            </w:r>
          </w:p>
        </w:tc>
        <w:tc>
          <w:tcPr>
            <w:tcW w:w="2834" w:type="dxa"/>
            <w:gridSpan w:val="2"/>
            <w:shd w:val="clear" w:color="auto" w:fill="E6E6E6"/>
            <w:vAlign w:val="center"/>
          </w:tcPr>
          <w:p w:rsidR="00DF238E" w:rsidRPr="00CE2762" w:rsidRDefault="00DF238E" w:rsidP="005C4372">
            <w:pPr>
              <w:spacing w:before="0" w:after="0" w:line="240" w:lineRule="auto"/>
              <w:ind w:left="35"/>
              <w:jc w:val="center"/>
              <w:rPr>
                <w:b/>
                <w:bCs/>
                <w:color w:val="000080"/>
                <w:sz w:val="16"/>
                <w:szCs w:val="16"/>
                <w:lang w:val="es-ES_tradnl"/>
              </w:rPr>
            </w:pPr>
            <w:r w:rsidRPr="00CE2762">
              <w:rPr>
                <w:b/>
                <w:bCs/>
                <w:color w:val="000080"/>
                <w:sz w:val="16"/>
                <w:szCs w:val="16"/>
                <w:lang w:val="es-ES_tradnl"/>
              </w:rPr>
              <w:t>Frecuencia (1/año)</w:t>
            </w:r>
          </w:p>
          <w:p w:rsidR="00DF238E" w:rsidRPr="00CE2762" w:rsidRDefault="00DF238E" w:rsidP="005C4372">
            <w:pPr>
              <w:spacing w:before="0" w:after="0" w:line="240" w:lineRule="auto"/>
              <w:ind w:left="35"/>
              <w:jc w:val="center"/>
              <w:rPr>
                <w:b/>
                <w:bCs/>
                <w:color w:val="000080"/>
                <w:sz w:val="16"/>
                <w:szCs w:val="16"/>
                <w:lang w:val="es-ES_tradnl"/>
              </w:rPr>
            </w:pPr>
            <w:r w:rsidRPr="00CE2762">
              <w:rPr>
                <w:b/>
                <w:bCs/>
                <w:color w:val="000080"/>
                <w:sz w:val="16"/>
                <w:szCs w:val="16"/>
                <w:lang w:val="es-ES_tradnl"/>
              </w:rPr>
              <w:t>Máx.               mín.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DF238E" w:rsidRPr="00CE2762" w:rsidRDefault="00DF238E" w:rsidP="005C4372">
            <w:pPr>
              <w:spacing w:before="0" w:after="0" w:line="240" w:lineRule="auto"/>
              <w:ind w:left="35"/>
              <w:jc w:val="center"/>
              <w:rPr>
                <w:b/>
                <w:bCs/>
                <w:color w:val="000080"/>
                <w:sz w:val="16"/>
                <w:szCs w:val="16"/>
                <w:lang w:val="es-ES_tradnl"/>
              </w:rPr>
            </w:pPr>
            <w:r w:rsidRPr="00CE2762">
              <w:rPr>
                <w:b/>
                <w:bCs/>
                <w:color w:val="000080"/>
                <w:sz w:val="16"/>
                <w:szCs w:val="16"/>
                <w:lang w:val="es-ES_tradnl"/>
              </w:rPr>
              <w:t xml:space="preserve">Frecuencia </w:t>
            </w:r>
            <w:r>
              <w:rPr>
                <w:b/>
                <w:bCs/>
                <w:color w:val="000080"/>
                <w:sz w:val="16"/>
                <w:szCs w:val="16"/>
                <w:lang w:val="es-ES_tradnl"/>
              </w:rPr>
              <w:t xml:space="preserve">típica </w:t>
            </w:r>
            <w:r w:rsidRPr="00CE2762">
              <w:rPr>
                <w:b/>
                <w:bCs/>
                <w:color w:val="000080"/>
                <w:sz w:val="16"/>
                <w:szCs w:val="16"/>
                <w:lang w:val="es-ES_tradnl"/>
              </w:rPr>
              <w:t>(1/año)</w:t>
            </w:r>
          </w:p>
        </w:tc>
      </w:tr>
      <w:tr w:rsidR="00DF238E" w:rsidRPr="00BB3E3E" w:rsidTr="00314D91">
        <w:trPr>
          <w:trHeight w:val="193"/>
          <w:jc w:val="center"/>
        </w:trPr>
        <w:tc>
          <w:tcPr>
            <w:tcW w:w="5102" w:type="dxa"/>
            <w:vAlign w:val="center"/>
          </w:tcPr>
          <w:p w:rsidR="00DF238E" w:rsidRPr="00CE2762" w:rsidRDefault="00DF238E" w:rsidP="00BB3E3E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E2762">
              <w:rPr>
                <w:sz w:val="18"/>
                <w:szCs w:val="18"/>
              </w:rPr>
              <w:t>Fallo eléctrico parcial</w:t>
            </w:r>
          </w:p>
          <w:p w:rsidR="00DF238E" w:rsidRPr="00CE2762" w:rsidRDefault="00DF238E" w:rsidP="00BB3E3E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E2762">
              <w:rPr>
                <w:sz w:val="18"/>
                <w:szCs w:val="18"/>
              </w:rPr>
              <w:t>(se supone un diseño adecuado del suministro eléctrico)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-0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18" w:type="dxa"/>
            <w:vAlign w:val="center"/>
          </w:tcPr>
          <w:p w:rsidR="00DF238E" w:rsidRPr="00BB3E3E" w:rsidRDefault="00DF238E" w:rsidP="005C4372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5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DF238E" w:rsidRPr="00BB3E3E" w:rsidTr="00314D91">
        <w:trPr>
          <w:trHeight w:val="193"/>
          <w:jc w:val="center"/>
        </w:trPr>
        <w:tc>
          <w:tcPr>
            <w:tcW w:w="5102" w:type="dxa"/>
            <w:vAlign w:val="center"/>
          </w:tcPr>
          <w:p w:rsidR="00DF238E" w:rsidRPr="00CE2762" w:rsidRDefault="00DF238E" w:rsidP="00BB3E3E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E2762">
              <w:rPr>
                <w:sz w:val="18"/>
                <w:szCs w:val="18"/>
              </w:rPr>
              <w:t>Fallo eléctrico general</w:t>
            </w:r>
          </w:p>
          <w:p w:rsidR="00DF238E" w:rsidRPr="00CE2762" w:rsidRDefault="00DF238E" w:rsidP="00BB3E3E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E2762">
              <w:rPr>
                <w:sz w:val="18"/>
                <w:szCs w:val="18"/>
              </w:rPr>
              <w:t>(se supone un diseño adecuado del suministro eléctrico)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18" w:type="dxa"/>
            <w:vAlign w:val="center"/>
          </w:tcPr>
          <w:p w:rsidR="00DF238E" w:rsidRPr="00BB3E3E" w:rsidRDefault="00DF238E" w:rsidP="005C4372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1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DF238E" w:rsidRPr="00BB3E3E" w:rsidTr="00314D91">
        <w:trPr>
          <w:trHeight w:val="193"/>
          <w:jc w:val="center"/>
        </w:trPr>
        <w:tc>
          <w:tcPr>
            <w:tcW w:w="5102" w:type="dxa"/>
            <w:vAlign w:val="center"/>
          </w:tcPr>
          <w:p w:rsidR="00DF238E" w:rsidRPr="00CE2762" w:rsidRDefault="00DF238E" w:rsidP="00BB3E3E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E2762">
              <w:rPr>
                <w:sz w:val="18"/>
                <w:szCs w:val="18"/>
              </w:rPr>
              <w:t>Fallo de agua de refrigeración</w:t>
            </w:r>
          </w:p>
          <w:p w:rsidR="00DF238E" w:rsidRPr="00CE2762" w:rsidRDefault="00DF238E" w:rsidP="00BB3E3E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E2762">
              <w:rPr>
                <w:sz w:val="18"/>
                <w:szCs w:val="18"/>
              </w:rPr>
              <w:t>(se supone un diseño adecuado del suministro de agua de refrigeración)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-0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18" w:type="dxa"/>
            <w:vAlign w:val="center"/>
          </w:tcPr>
          <w:p w:rsidR="00DF238E" w:rsidRPr="00BB3E3E" w:rsidRDefault="00DF238E" w:rsidP="005C4372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5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DF238E" w:rsidRPr="00BB3E3E" w:rsidTr="00064933">
        <w:trPr>
          <w:trHeight w:val="340"/>
          <w:jc w:val="center"/>
        </w:trPr>
        <w:tc>
          <w:tcPr>
            <w:tcW w:w="5102" w:type="dxa"/>
            <w:vAlign w:val="center"/>
          </w:tcPr>
          <w:p w:rsidR="00DF238E" w:rsidRPr="00CE2762" w:rsidRDefault="00DF238E" w:rsidP="00BB3E3E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E2762">
              <w:rPr>
                <w:sz w:val="18"/>
                <w:szCs w:val="18"/>
              </w:rPr>
              <w:t>Paro de bomba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-0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18" w:type="dxa"/>
            <w:vAlign w:val="center"/>
          </w:tcPr>
          <w:p w:rsidR="00DF238E" w:rsidRPr="00BB3E3E" w:rsidRDefault="00DF238E" w:rsidP="005C4372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5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DF238E" w:rsidRPr="00BB3E3E" w:rsidTr="00314D91">
        <w:trPr>
          <w:trHeight w:val="193"/>
          <w:jc w:val="center"/>
        </w:trPr>
        <w:tc>
          <w:tcPr>
            <w:tcW w:w="5102" w:type="dxa"/>
            <w:vAlign w:val="center"/>
          </w:tcPr>
          <w:p w:rsidR="00DF238E" w:rsidRPr="00CE2762" w:rsidRDefault="00DF238E" w:rsidP="00BB3E3E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E2762">
              <w:rPr>
                <w:sz w:val="18"/>
                <w:szCs w:val="18"/>
              </w:rPr>
              <w:t>Paro de bomba y fallo del arranque automático de bomba de reserva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-0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18" w:type="dxa"/>
            <w:vAlign w:val="center"/>
          </w:tcPr>
          <w:p w:rsidR="00DF238E" w:rsidRPr="00BB3E3E" w:rsidRDefault="00DF238E" w:rsidP="005C4372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5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DF238E" w:rsidRPr="00BB3E3E" w:rsidTr="00064933">
        <w:trPr>
          <w:trHeight w:val="340"/>
          <w:jc w:val="center"/>
        </w:trPr>
        <w:tc>
          <w:tcPr>
            <w:tcW w:w="5102" w:type="dxa"/>
            <w:vAlign w:val="center"/>
          </w:tcPr>
          <w:p w:rsidR="00DF238E" w:rsidRPr="00CE2762" w:rsidRDefault="00DF238E" w:rsidP="00BB3E3E">
            <w:pPr>
              <w:autoSpaceDE w:val="0"/>
              <w:autoSpaceDN w:val="0"/>
              <w:adjustRightInd w:val="0"/>
              <w:spacing w:before="0" w:after="0" w:line="240" w:lineRule="auto"/>
              <w:rPr>
                <w:sz w:val="18"/>
                <w:szCs w:val="18"/>
              </w:rPr>
            </w:pPr>
            <w:r w:rsidRPr="00CE2762">
              <w:rPr>
                <w:sz w:val="18"/>
                <w:szCs w:val="18"/>
              </w:rPr>
              <w:t xml:space="preserve">Fallo en sello de bomba 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18" w:type="dxa"/>
            <w:vAlign w:val="center"/>
          </w:tcPr>
          <w:p w:rsidR="00DF238E" w:rsidRPr="00BB3E3E" w:rsidRDefault="00DF238E" w:rsidP="005C4372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1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DF238E" w:rsidRPr="00BB3E3E" w:rsidTr="00064933">
        <w:trPr>
          <w:trHeight w:val="340"/>
          <w:jc w:val="center"/>
        </w:trPr>
        <w:tc>
          <w:tcPr>
            <w:tcW w:w="5102" w:type="dxa"/>
            <w:vAlign w:val="center"/>
          </w:tcPr>
          <w:p w:rsidR="00DF238E" w:rsidRPr="00CE2762" w:rsidRDefault="00DF238E" w:rsidP="00BB3E3E">
            <w:pPr>
              <w:autoSpaceDE w:val="0"/>
              <w:autoSpaceDN w:val="0"/>
              <w:adjustRightInd w:val="0"/>
              <w:spacing w:before="0" w:after="0" w:line="240" w:lineRule="auto"/>
              <w:rPr>
                <w:sz w:val="18"/>
                <w:szCs w:val="18"/>
                <w:lang w:val="es-ES_tradnl"/>
              </w:rPr>
            </w:pPr>
            <w:r w:rsidRPr="00CE2762">
              <w:rPr>
                <w:sz w:val="18"/>
                <w:szCs w:val="18"/>
                <w:lang w:val="es-ES_tradnl"/>
              </w:rPr>
              <w:t xml:space="preserve">Caída de rayo 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418" w:type="dxa"/>
            <w:vAlign w:val="center"/>
          </w:tcPr>
          <w:p w:rsidR="00DF238E" w:rsidRPr="00BB3E3E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1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-3</w:t>
            </w:r>
          </w:p>
        </w:tc>
      </w:tr>
      <w:tr w:rsidR="00DF238E" w:rsidRPr="00BB3E3E" w:rsidTr="00064933">
        <w:trPr>
          <w:trHeight w:val="340"/>
          <w:jc w:val="center"/>
        </w:trPr>
        <w:tc>
          <w:tcPr>
            <w:tcW w:w="5102" w:type="dxa"/>
            <w:vAlign w:val="center"/>
          </w:tcPr>
          <w:p w:rsidR="00DF238E" w:rsidRPr="00CE2762" w:rsidRDefault="00DF238E" w:rsidP="00BB3E3E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E2762">
              <w:rPr>
                <w:sz w:val="18"/>
                <w:szCs w:val="18"/>
              </w:rPr>
              <w:t>Fallo de un aerorefrigerante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-0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18" w:type="dxa"/>
            <w:vAlign w:val="center"/>
          </w:tcPr>
          <w:p w:rsidR="00DF238E" w:rsidRPr="00BB3E3E" w:rsidRDefault="00DF238E" w:rsidP="005C4372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5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DF238E" w:rsidRPr="00BB3E3E" w:rsidTr="00064933">
        <w:trPr>
          <w:trHeight w:val="340"/>
          <w:jc w:val="center"/>
        </w:trPr>
        <w:tc>
          <w:tcPr>
            <w:tcW w:w="5102" w:type="dxa"/>
            <w:vAlign w:val="center"/>
          </w:tcPr>
          <w:p w:rsidR="00DF238E" w:rsidRPr="00CE2762" w:rsidRDefault="00DF238E" w:rsidP="00BB3E3E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E2762">
              <w:rPr>
                <w:sz w:val="18"/>
                <w:szCs w:val="18"/>
              </w:rPr>
              <w:t xml:space="preserve">Rotura de un tubo en intercambiador 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-0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18" w:type="dxa"/>
            <w:vAlign w:val="center"/>
          </w:tcPr>
          <w:p w:rsidR="00DF238E" w:rsidRPr="00BB3E3E" w:rsidRDefault="00DF238E" w:rsidP="005C4372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5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DF238E" w:rsidRPr="00BB3E3E" w:rsidTr="00064933">
        <w:trPr>
          <w:trHeight w:val="340"/>
          <w:jc w:val="center"/>
        </w:trPr>
        <w:tc>
          <w:tcPr>
            <w:tcW w:w="5102" w:type="dxa"/>
            <w:vAlign w:val="center"/>
          </w:tcPr>
          <w:p w:rsidR="00DF238E" w:rsidRPr="00CE2762" w:rsidRDefault="00DF238E" w:rsidP="00BB3E3E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E2762">
              <w:rPr>
                <w:sz w:val="18"/>
                <w:szCs w:val="18"/>
              </w:rPr>
              <w:t>Fallo lazo de control /BPCS</w:t>
            </w:r>
            <w:r w:rsidRPr="00CE2762">
              <w:rPr>
                <w:rStyle w:val="Refdenotaalpie"/>
                <w:rFonts w:cs="Arial"/>
                <w:b/>
                <w:sz w:val="18"/>
                <w:szCs w:val="18"/>
              </w:rPr>
              <w:footnoteReference w:id="1"/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-0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18" w:type="dxa"/>
            <w:vAlign w:val="center"/>
          </w:tcPr>
          <w:p w:rsidR="00DF238E" w:rsidRPr="00BB3E3E" w:rsidRDefault="00DF238E" w:rsidP="005C4372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1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DF238E" w:rsidRPr="00BB3E3E" w:rsidTr="00314D91">
        <w:trPr>
          <w:trHeight w:val="193"/>
          <w:jc w:val="center"/>
        </w:trPr>
        <w:tc>
          <w:tcPr>
            <w:tcW w:w="5102" w:type="dxa"/>
            <w:vAlign w:val="center"/>
          </w:tcPr>
          <w:p w:rsidR="00DF238E" w:rsidRPr="00CE2762" w:rsidRDefault="00DF238E" w:rsidP="00BB3E3E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E2762">
              <w:rPr>
                <w:sz w:val="18"/>
                <w:szCs w:val="18"/>
              </w:rPr>
              <w:t>Fallo espurio de válvula (CV o XV):</w:t>
            </w:r>
          </w:p>
          <w:p w:rsidR="00DF238E" w:rsidRPr="00CE2762" w:rsidRDefault="00DF238E" w:rsidP="00BB3E3E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E2762">
              <w:rPr>
                <w:sz w:val="18"/>
                <w:szCs w:val="18"/>
              </w:rPr>
              <w:t xml:space="preserve">(fallo abierto de válvula FO o fallo cerrado de válvula FC) 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17" w:type="dxa"/>
            <w:vAlign w:val="center"/>
          </w:tcPr>
          <w:p w:rsidR="00DF238E" w:rsidRPr="00314D91" w:rsidRDefault="00DF238E" w:rsidP="00314D91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14D91">
              <w:rPr>
                <w:rFonts w:cs="Times New Roman"/>
                <w:sz w:val="20"/>
                <w:szCs w:val="20"/>
              </w:rPr>
              <w:t>10</w:t>
            </w:r>
            <w:r w:rsidRPr="00314D91">
              <w:rPr>
                <w:rFonts w:cs="Times New Roman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418" w:type="dxa"/>
            <w:vAlign w:val="center"/>
          </w:tcPr>
          <w:p w:rsidR="00DF238E" w:rsidRPr="00BB3E3E" w:rsidRDefault="00DF238E" w:rsidP="005C4372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2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-2</w:t>
            </w:r>
          </w:p>
        </w:tc>
      </w:tr>
      <w:tr w:rsidR="00DF238E" w:rsidRPr="00BB3E3E" w:rsidTr="00064933">
        <w:trPr>
          <w:trHeight w:val="340"/>
          <w:jc w:val="center"/>
        </w:trPr>
        <w:tc>
          <w:tcPr>
            <w:tcW w:w="5102" w:type="dxa"/>
            <w:vAlign w:val="center"/>
          </w:tcPr>
          <w:p w:rsidR="00DF238E" w:rsidRPr="00CE2762" w:rsidRDefault="00DF238E" w:rsidP="00BB3E3E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E2762">
              <w:rPr>
                <w:sz w:val="18"/>
                <w:szCs w:val="18"/>
              </w:rPr>
              <w:t>Error humano</w:t>
            </w:r>
          </w:p>
        </w:tc>
        <w:tc>
          <w:tcPr>
            <w:tcW w:w="4252" w:type="dxa"/>
            <w:gridSpan w:val="3"/>
            <w:vAlign w:val="center"/>
          </w:tcPr>
          <w:p w:rsidR="00DF238E" w:rsidRPr="00F403B2" w:rsidRDefault="00DF238E" w:rsidP="005C4372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 tabla A</w:t>
            </w:r>
            <w:r w:rsidRPr="00F403B2">
              <w:rPr>
                <w:sz w:val="16"/>
                <w:szCs w:val="16"/>
              </w:rPr>
              <w:t>2 y</w:t>
            </w:r>
            <w:r>
              <w:rPr>
                <w:sz w:val="16"/>
                <w:szCs w:val="16"/>
              </w:rPr>
              <w:t xml:space="preserve"> aclar</w:t>
            </w:r>
            <w:r w:rsidRPr="00F403B2">
              <w:rPr>
                <w:sz w:val="16"/>
                <w:szCs w:val="16"/>
              </w:rPr>
              <w:t>aciones a continuación</w:t>
            </w:r>
          </w:p>
        </w:tc>
      </w:tr>
    </w:tbl>
    <w:p w:rsidR="00DF238E" w:rsidRDefault="00DF238E" w:rsidP="00107DC3">
      <w:pPr>
        <w:spacing w:before="0" w:after="0" w:line="240" w:lineRule="auto"/>
        <w:rPr>
          <w:szCs w:val="20"/>
        </w:rPr>
      </w:pPr>
    </w:p>
    <w:p w:rsidR="00DF238E" w:rsidRDefault="00DF238E">
      <w:pPr>
        <w:spacing w:before="0" w:after="0" w:line="240" w:lineRule="auto"/>
        <w:jc w:val="left"/>
        <w:rPr>
          <w:szCs w:val="20"/>
        </w:rPr>
      </w:pPr>
      <w:r>
        <w:rPr>
          <w:szCs w:val="20"/>
        </w:rPr>
        <w:br w:type="page"/>
      </w:r>
    </w:p>
    <w:tbl>
      <w:tblPr>
        <w:tblW w:w="9299" w:type="dxa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ook w:val="0000" w:firstRow="0" w:lastRow="0" w:firstColumn="0" w:lastColumn="0" w:noHBand="0" w:noVBand="0"/>
      </w:tblPr>
      <w:tblGrid>
        <w:gridCol w:w="2494"/>
        <w:gridCol w:w="1701"/>
        <w:gridCol w:w="1701"/>
        <w:gridCol w:w="1702"/>
        <w:gridCol w:w="1701"/>
      </w:tblGrid>
      <w:tr w:rsidR="00DF238E" w:rsidRPr="00EB7A97" w:rsidTr="001E22C7">
        <w:trPr>
          <w:trHeight w:val="425"/>
          <w:jc w:val="center"/>
        </w:trPr>
        <w:tc>
          <w:tcPr>
            <w:tcW w:w="9299" w:type="dxa"/>
            <w:gridSpan w:val="5"/>
            <w:shd w:val="clear" w:color="auto" w:fill="000080"/>
            <w:vAlign w:val="center"/>
          </w:tcPr>
          <w:p w:rsidR="00DF238E" w:rsidRPr="00EB7A97" w:rsidRDefault="00DF238E" w:rsidP="003D7121">
            <w:pPr>
              <w:spacing w:before="0"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  <w:lang w:val="es-ES_tradnl"/>
              </w:rPr>
            </w:pPr>
            <w:r>
              <w:rPr>
                <w:b/>
                <w:bCs/>
                <w:color w:val="FFFFFF"/>
                <w:sz w:val="20"/>
                <w:szCs w:val="20"/>
                <w:lang w:val="es-ES_tradnl"/>
              </w:rPr>
              <w:lastRenderedPageBreak/>
              <w:t>Tabla A</w:t>
            </w:r>
            <w:r w:rsidRPr="00EB7A97">
              <w:rPr>
                <w:b/>
                <w:bCs/>
                <w:color w:val="FFFFFF"/>
                <w:sz w:val="20"/>
                <w:szCs w:val="20"/>
                <w:lang w:val="es-ES_tradnl"/>
              </w:rPr>
              <w:t>2: Probabilidad de error humano en cada intervención</w:t>
            </w:r>
          </w:p>
        </w:tc>
      </w:tr>
      <w:tr w:rsidR="00DF238E" w:rsidRPr="00EB7A97" w:rsidTr="001E22C7">
        <w:trPr>
          <w:trHeight w:val="196"/>
          <w:jc w:val="center"/>
        </w:trPr>
        <w:tc>
          <w:tcPr>
            <w:tcW w:w="2494" w:type="dxa"/>
            <w:shd w:val="clear" w:color="auto" w:fill="E6E6E6"/>
            <w:vAlign w:val="center"/>
          </w:tcPr>
          <w:p w:rsidR="00DF238E" w:rsidRPr="00EB7A97" w:rsidRDefault="00DF238E" w:rsidP="00EB7A97">
            <w:p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EB7A97">
              <w:rPr>
                <w:b/>
                <w:sz w:val="20"/>
                <w:szCs w:val="20"/>
              </w:rPr>
              <w:t>Complejidad /</w:t>
            </w:r>
          </w:p>
          <w:p w:rsidR="00DF238E" w:rsidRPr="00EB7A97" w:rsidRDefault="00DF238E" w:rsidP="00EB7A97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B7A97">
              <w:rPr>
                <w:b/>
                <w:sz w:val="20"/>
                <w:szCs w:val="20"/>
              </w:rPr>
              <w:t>Nivel de estrés</w:t>
            </w:r>
          </w:p>
        </w:tc>
        <w:tc>
          <w:tcPr>
            <w:tcW w:w="1701" w:type="dxa"/>
            <w:shd w:val="clear" w:color="auto" w:fill="E6E6E6"/>
            <w:vAlign w:val="center"/>
          </w:tcPr>
          <w:p w:rsidR="00DF238E" w:rsidRPr="00EB7A97" w:rsidRDefault="00DF238E" w:rsidP="00EB7A97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B7A97">
              <w:rPr>
                <w:b/>
                <w:sz w:val="20"/>
                <w:szCs w:val="20"/>
              </w:rPr>
              <w:t>Muy simple</w:t>
            </w:r>
          </w:p>
        </w:tc>
        <w:tc>
          <w:tcPr>
            <w:tcW w:w="1701" w:type="dxa"/>
            <w:shd w:val="clear" w:color="auto" w:fill="E6E6E6"/>
            <w:vAlign w:val="center"/>
          </w:tcPr>
          <w:p w:rsidR="00DF238E" w:rsidRPr="00EB7A97" w:rsidRDefault="00DF238E" w:rsidP="00EB7A97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B7A97">
              <w:rPr>
                <w:b/>
                <w:sz w:val="20"/>
                <w:szCs w:val="20"/>
              </w:rPr>
              <w:t>Simple y rutinaria</w:t>
            </w:r>
          </w:p>
        </w:tc>
        <w:tc>
          <w:tcPr>
            <w:tcW w:w="1702" w:type="dxa"/>
            <w:shd w:val="clear" w:color="auto" w:fill="E6E6E6"/>
            <w:vAlign w:val="center"/>
          </w:tcPr>
          <w:p w:rsidR="00DF238E" w:rsidRPr="00EB7A97" w:rsidRDefault="00DF238E" w:rsidP="00EB7A97">
            <w:pPr>
              <w:spacing w:before="0" w:after="0" w:line="240" w:lineRule="auto"/>
              <w:ind w:left="-17"/>
              <w:jc w:val="center"/>
              <w:rPr>
                <w:b/>
                <w:sz w:val="20"/>
                <w:szCs w:val="20"/>
              </w:rPr>
            </w:pPr>
            <w:r w:rsidRPr="00EB7A97">
              <w:rPr>
                <w:b/>
                <w:sz w:val="20"/>
                <w:szCs w:val="20"/>
              </w:rPr>
              <w:t xml:space="preserve">Rutinaria aunque </w:t>
            </w:r>
            <w:r w:rsidRPr="00EB7A97">
              <w:rPr>
                <w:b/>
                <w:sz w:val="20"/>
                <w:szCs w:val="20"/>
                <w:lang w:val="es-ES_tradnl"/>
              </w:rPr>
              <w:t>requiere atención</w:t>
            </w:r>
          </w:p>
        </w:tc>
        <w:tc>
          <w:tcPr>
            <w:tcW w:w="1701" w:type="dxa"/>
            <w:shd w:val="clear" w:color="auto" w:fill="E6E6E6"/>
            <w:vAlign w:val="center"/>
          </w:tcPr>
          <w:p w:rsidR="00DF238E" w:rsidRPr="00EB7A97" w:rsidRDefault="00DF238E" w:rsidP="00EB7A97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B7A97">
              <w:rPr>
                <w:b/>
                <w:sz w:val="20"/>
                <w:szCs w:val="20"/>
              </w:rPr>
              <w:t>Complicada y no rutinaria</w:t>
            </w:r>
          </w:p>
        </w:tc>
      </w:tr>
      <w:tr w:rsidR="00DF238E" w:rsidRPr="00EB7A97" w:rsidTr="001E22C7">
        <w:trPr>
          <w:trHeight w:val="193"/>
          <w:jc w:val="center"/>
        </w:trPr>
        <w:tc>
          <w:tcPr>
            <w:tcW w:w="2494" w:type="dxa"/>
          </w:tcPr>
          <w:p w:rsidR="00DF238E" w:rsidRPr="00EB7A97" w:rsidRDefault="00DF238E" w:rsidP="00EB7A97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Sin estrés</w:t>
            </w:r>
          </w:p>
        </w:tc>
        <w:tc>
          <w:tcPr>
            <w:tcW w:w="1701" w:type="dxa"/>
          </w:tcPr>
          <w:p w:rsidR="00DF238E" w:rsidRPr="00EB7A97" w:rsidRDefault="00DF238E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701" w:type="dxa"/>
          </w:tcPr>
          <w:p w:rsidR="00DF238E" w:rsidRPr="00EB7A97" w:rsidRDefault="00DF238E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702" w:type="dxa"/>
          </w:tcPr>
          <w:p w:rsidR="00DF238E" w:rsidRPr="00EB7A97" w:rsidRDefault="00DF238E" w:rsidP="00EB7A97">
            <w:pPr>
              <w:spacing w:before="0" w:after="0" w:line="240" w:lineRule="auto"/>
              <w:ind w:left="-18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701" w:type="dxa"/>
          </w:tcPr>
          <w:p w:rsidR="00DF238E" w:rsidRPr="00EB7A97" w:rsidRDefault="00DF238E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-1</w:t>
            </w:r>
          </w:p>
        </w:tc>
      </w:tr>
      <w:tr w:rsidR="00DF238E" w:rsidRPr="00EB7A97" w:rsidTr="001E22C7">
        <w:trPr>
          <w:trHeight w:val="193"/>
          <w:jc w:val="center"/>
        </w:trPr>
        <w:tc>
          <w:tcPr>
            <w:tcW w:w="2494" w:type="dxa"/>
          </w:tcPr>
          <w:p w:rsidR="00DF238E" w:rsidRPr="00EB7A97" w:rsidRDefault="00DF238E" w:rsidP="00EB7A97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Estrés moderado</w:t>
            </w:r>
          </w:p>
        </w:tc>
        <w:tc>
          <w:tcPr>
            <w:tcW w:w="1701" w:type="dxa"/>
          </w:tcPr>
          <w:p w:rsidR="00DF238E" w:rsidRPr="00EB7A97" w:rsidRDefault="00DF238E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701" w:type="dxa"/>
          </w:tcPr>
          <w:p w:rsidR="00DF238E" w:rsidRPr="00EB7A97" w:rsidRDefault="00DF238E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702" w:type="dxa"/>
          </w:tcPr>
          <w:p w:rsidR="00DF238E" w:rsidRPr="00EB7A97" w:rsidRDefault="00DF238E" w:rsidP="00EB7A97">
            <w:pPr>
              <w:spacing w:before="0" w:after="0" w:line="240" w:lineRule="auto"/>
              <w:ind w:left="-18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 xml:space="preserve">5 </w:t>
            </w:r>
            <w:r w:rsidRPr="00EB7A97">
              <w:rPr>
                <w:sz w:val="20"/>
                <w:szCs w:val="20"/>
              </w:rPr>
              <w:sym w:font="Symbol" w:char="F0B4"/>
            </w:r>
            <w:r w:rsidRPr="00EB7A97">
              <w:rPr>
                <w:sz w:val="20"/>
                <w:szCs w:val="20"/>
              </w:rPr>
              <w:t xml:space="preserve"> 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701" w:type="dxa"/>
          </w:tcPr>
          <w:p w:rsidR="00DF238E" w:rsidRPr="00EB7A97" w:rsidRDefault="00DF238E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 xml:space="preserve">3 </w:t>
            </w:r>
            <w:r w:rsidRPr="00EB7A97">
              <w:rPr>
                <w:sz w:val="20"/>
                <w:szCs w:val="20"/>
              </w:rPr>
              <w:sym w:font="Symbol" w:char="F0B4"/>
            </w:r>
            <w:r w:rsidRPr="00EB7A97">
              <w:rPr>
                <w:sz w:val="20"/>
                <w:szCs w:val="20"/>
              </w:rPr>
              <w:t xml:space="preserve"> 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-1</w:t>
            </w:r>
          </w:p>
        </w:tc>
      </w:tr>
      <w:tr w:rsidR="00DF238E" w:rsidRPr="00EB7A97" w:rsidTr="001E22C7">
        <w:trPr>
          <w:trHeight w:val="193"/>
          <w:jc w:val="center"/>
        </w:trPr>
        <w:tc>
          <w:tcPr>
            <w:tcW w:w="2494" w:type="dxa"/>
          </w:tcPr>
          <w:p w:rsidR="00DF238E" w:rsidRPr="00EB7A97" w:rsidRDefault="00DF238E" w:rsidP="00EB7A97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Mucho estrés</w:t>
            </w:r>
          </w:p>
        </w:tc>
        <w:tc>
          <w:tcPr>
            <w:tcW w:w="1701" w:type="dxa"/>
          </w:tcPr>
          <w:p w:rsidR="00DF238E" w:rsidRPr="00EB7A97" w:rsidRDefault="00DF238E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701" w:type="dxa"/>
          </w:tcPr>
          <w:p w:rsidR="00DF238E" w:rsidRPr="00EB7A97" w:rsidRDefault="00DF238E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-1</w:t>
            </w:r>
            <w:r w:rsidRPr="00EB7A97">
              <w:rPr>
                <w:sz w:val="20"/>
                <w:szCs w:val="20"/>
              </w:rPr>
              <w:t xml:space="preserve"> – 1</w:t>
            </w:r>
          </w:p>
        </w:tc>
        <w:tc>
          <w:tcPr>
            <w:tcW w:w="1702" w:type="dxa"/>
          </w:tcPr>
          <w:p w:rsidR="00DF238E" w:rsidRPr="00EB7A97" w:rsidRDefault="00DF238E" w:rsidP="00EB7A97">
            <w:pPr>
              <w:spacing w:before="0" w:after="0" w:line="240" w:lineRule="auto"/>
              <w:ind w:left="-18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0.25 – 1</w:t>
            </w:r>
          </w:p>
        </w:tc>
        <w:tc>
          <w:tcPr>
            <w:tcW w:w="1701" w:type="dxa"/>
          </w:tcPr>
          <w:p w:rsidR="00DF238E" w:rsidRPr="00EB7A97" w:rsidRDefault="00DF238E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</w:t>
            </w:r>
          </w:p>
        </w:tc>
      </w:tr>
    </w:tbl>
    <w:p w:rsidR="00DF238E" w:rsidRDefault="00DF238E" w:rsidP="00107DC3">
      <w:pPr>
        <w:spacing w:before="0" w:after="0" w:line="240" w:lineRule="auto"/>
        <w:rPr>
          <w:szCs w:val="20"/>
        </w:rPr>
      </w:pPr>
    </w:p>
    <w:p w:rsidR="00DF238E" w:rsidRPr="004E15F6" w:rsidRDefault="00DF238E" w:rsidP="004A1FF0">
      <w:pPr>
        <w:spacing w:after="60" w:line="240" w:lineRule="auto"/>
      </w:pPr>
      <w:r w:rsidRPr="003A38E8">
        <w:t xml:space="preserve">La </w:t>
      </w:r>
      <w:r>
        <w:rPr>
          <w:b/>
        </w:rPr>
        <w:t>Tabla A</w:t>
      </w:r>
      <w:r w:rsidRPr="004E15F6">
        <w:rPr>
          <w:b/>
        </w:rPr>
        <w:t>2</w:t>
      </w:r>
      <w:r w:rsidRPr="004E15F6">
        <w:t xml:space="preserve"> se puede utilizar para estimar la frecuencia del error humano como evento iniciador, multiplicando el número anual de intervenciones del operador por la probabilidad de error humano que corresponde a la situación respecto al estrés y el nivel de dificultad de la intervención.</w:t>
      </w:r>
    </w:p>
    <w:p w:rsidR="00DF238E" w:rsidRPr="004E15F6" w:rsidRDefault="00DF238E" w:rsidP="004A1FF0">
      <w:pPr>
        <w:spacing w:after="60" w:line="240" w:lineRule="auto"/>
      </w:pPr>
      <w:r w:rsidRPr="004E15F6">
        <w:t>Sin estrés corresponde típicamente a una operación que se puede realizar con varias horas o días por delante.</w:t>
      </w:r>
    </w:p>
    <w:p w:rsidR="00DF238E" w:rsidRPr="004E15F6" w:rsidRDefault="00DF238E" w:rsidP="004A1FF0">
      <w:pPr>
        <w:spacing w:after="60" w:line="240" w:lineRule="auto"/>
      </w:pPr>
      <w:r w:rsidRPr="004E15F6">
        <w:t>Estrés moderado corresponde típicamente a una operación que se debe realizar en un plazo relativamente corto pero suficiente, por ejemplo durante la ronda del operador de turno.</w:t>
      </w:r>
    </w:p>
    <w:p w:rsidR="00DF238E" w:rsidRPr="004E15F6" w:rsidRDefault="00DF238E" w:rsidP="004A1FF0">
      <w:pPr>
        <w:spacing w:after="60" w:line="240" w:lineRule="auto"/>
      </w:pPr>
      <w:r w:rsidRPr="004E15F6">
        <w:t xml:space="preserve">Mucho estrés corresponde típicamente a una operación que se debe hacer con mucha prisa y que puede tener impacto inmediato si no se actúa, por ejemplo una respuesta a una alarma. </w:t>
      </w:r>
    </w:p>
    <w:p w:rsidR="00DF238E" w:rsidRPr="003A38E8" w:rsidRDefault="00DF238E" w:rsidP="00B8052E">
      <w:pPr>
        <w:spacing w:line="240" w:lineRule="auto"/>
      </w:pPr>
      <w:r w:rsidRPr="004E15F6">
        <w:t>Se resalta sin embargo</w:t>
      </w:r>
      <w:r>
        <w:t xml:space="preserve"> que </w:t>
      </w:r>
      <w:r w:rsidRPr="004E15F6">
        <w:t xml:space="preserve">la </w:t>
      </w:r>
      <w:r>
        <w:rPr>
          <w:b/>
        </w:rPr>
        <w:t>Tabla A</w:t>
      </w:r>
      <w:r w:rsidRPr="004E15F6">
        <w:rPr>
          <w:b/>
        </w:rPr>
        <w:t>2</w:t>
      </w:r>
      <w:r w:rsidRPr="004E15F6">
        <w:t xml:space="preserve"> no se debe utilizar para estimar la probabilidad de fallo de la capa de protección “supervisión e intervención humana” porque las pautas a seguir en este caso están recogidas en </w:t>
      </w:r>
      <w:r w:rsidRPr="00446016">
        <w:t xml:space="preserve">la </w:t>
      </w:r>
      <w:r>
        <w:rPr>
          <w:b/>
        </w:rPr>
        <w:t>Tabla A</w:t>
      </w:r>
      <w:r w:rsidRPr="00446016">
        <w:rPr>
          <w:b/>
        </w:rPr>
        <w:t>8</w:t>
      </w:r>
      <w:r w:rsidRPr="004E15F6">
        <w:t xml:space="preserve">. </w:t>
      </w:r>
    </w:p>
    <w:tbl>
      <w:tblPr>
        <w:tblW w:w="9299" w:type="dxa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ook w:val="0000" w:firstRow="0" w:lastRow="0" w:firstColumn="0" w:lastColumn="0" w:noHBand="0" w:noVBand="0"/>
      </w:tblPr>
      <w:tblGrid>
        <w:gridCol w:w="2494"/>
        <w:gridCol w:w="1701"/>
        <w:gridCol w:w="1701"/>
        <w:gridCol w:w="1702"/>
        <w:gridCol w:w="1701"/>
      </w:tblGrid>
      <w:tr w:rsidR="00DF238E" w:rsidRPr="00EB7A97" w:rsidTr="001E22C7">
        <w:trPr>
          <w:trHeight w:val="425"/>
          <w:jc w:val="center"/>
        </w:trPr>
        <w:tc>
          <w:tcPr>
            <w:tcW w:w="9299" w:type="dxa"/>
            <w:gridSpan w:val="5"/>
            <w:shd w:val="clear" w:color="auto" w:fill="000080"/>
            <w:vAlign w:val="center"/>
          </w:tcPr>
          <w:p w:rsidR="00DF238E" w:rsidRPr="00EB7A97" w:rsidRDefault="00DF238E" w:rsidP="00B8052E">
            <w:pPr>
              <w:spacing w:before="0"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  <w:lang w:val="es-ES_tradnl"/>
              </w:rPr>
            </w:pPr>
            <w:r>
              <w:rPr>
                <w:b/>
                <w:bCs/>
                <w:color w:val="FFFFFF"/>
                <w:sz w:val="20"/>
                <w:szCs w:val="20"/>
                <w:lang w:val="es-ES_tradnl"/>
              </w:rPr>
              <w:t>Tabla A3</w:t>
            </w:r>
            <w:r w:rsidRPr="00EB7A97">
              <w:rPr>
                <w:b/>
                <w:bCs/>
                <w:color w:val="FFFFFF"/>
                <w:sz w:val="20"/>
                <w:szCs w:val="20"/>
                <w:lang w:val="es-ES_tradnl"/>
              </w:rPr>
              <w:t xml:space="preserve">: </w:t>
            </w:r>
            <w:r w:rsidRPr="00B8052E">
              <w:rPr>
                <w:b/>
                <w:bCs/>
                <w:color w:val="FFFFFF"/>
                <w:sz w:val="20"/>
                <w:szCs w:val="20"/>
                <w:lang w:val="es-ES_tradnl"/>
              </w:rPr>
              <w:t>Probabilidad de ignición directa para equipos fijos</w:t>
            </w:r>
          </w:p>
        </w:tc>
      </w:tr>
      <w:tr w:rsidR="00DF238E" w:rsidRPr="00EB7A97" w:rsidTr="001E22C7">
        <w:trPr>
          <w:trHeight w:val="196"/>
          <w:jc w:val="center"/>
        </w:trPr>
        <w:tc>
          <w:tcPr>
            <w:tcW w:w="4195" w:type="dxa"/>
            <w:gridSpan w:val="2"/>
            <w:shd w:val="clear" w:color="auto" w:fill="E6E6E6"/>
            <w:vAlign w:val="center"/>
          </w:tcPr>
          <w:p w:rsidR="00DF238E" w:rsidRPr="00EB7A97" w:rsidRDefault="00DF238E" w:rsidP="005C4372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Fuga</w:t>
            </w:r>
          </w:p>
        </w:tc>
        <w:tc>
          <w:tcPr>
            <w:tcW w:w="5104" w:type="dxa"/>
            <w:gridSpan w:val="3"/>
            <w:shd w:val="clear" w:color="auto" w:fill="E6E6E6"/>
            <w:vAlign w:val="center"/>
          </w:tcPr>
          <w:p w:rsidR="00DF238E" w:rsidRPr="00EB7A97" w:rsidRDefault="00DF238E" w:rsidP="005C4372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Sustancias</w:t>
            </w:r>
          </w:p>
        </w:tc>
      </w:tr>
      <w:tr w:rsidR="00DF238E" w:rsidRPr="00EB7A97" w:rsidTr="001E22C7">
        <w:trPr>
          <w:trHeight w:val="193"/>
          <w:jc w:val="center"/>
        </w:trPr>
        <w:tc>
          <w:tcPr>
            <w:tcW w:w="2494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1E22C7">
              <w:rPr>
                <w:b/>
                <w:sz w:val="18"/>
                <w:szCs w:val="18"/>
              </w:rPr>
              <w:t>Continua</w:t>
            </w:r>
          </w:p>
        </w:tc>
        <w:tc>
          <w:tcPr>
            <w:tcW w:w="1701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1E22C7">
              <w:rPr>
                <w:b/>
                <w:sz w:val="18"/>
                <w:szCs w:val="18"/>
              </w:rPr>
              <w:t>Instantánea</w:t>
            </w:r>
          </w:p>
        </w:tc>
        <w:tc>
          <w:tcPr>
            <w:tcW w:w="1701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1E22C7">
              <w:rPr>
                <w:b/>
                <w:sz w:val="18"/>
                <w:szCs w:val="18"/>
              </w:rPr>
              <w:t>Líquidos</w:t>
            </w:r>
          </w:p>
        </w:tc>
        <w:tc>
          <w:tcPr>
            <w:tcW w:w="1702" w:type="dxa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1E22C7">
              <w:rPr>
                <w:b/>
                <w:sz w:val="18"/>
                <w:szCs w:val="18"/>
              </w:rPr>
              <w:t>Gases ( baja reactividad)</w:t>
            </w:r>
          </w:p>
        </w:tc>
        <w:tc>
          <w:tcPr>
            <w:tcW w:w="1701" w:type="dxa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1E22C7">
              <w:rPr>
                <w:b/>
                <w:sz w:val="18"/>
                <w:szCs w:val="18"/>
              </w:rPr>
              <w:t>Gases (media /alta reactividad)</w:t>
            </w:r>
          </w:p>
        </w:tc>
      </w:tr>
      <w:tr w:rsidR="00DF238E" w:rsidRPr="00EB7A97" w:rsidTr="001E22C7">
        <w:trPr>
          <w:trHeight w:val="193"/>
          <w:jc w:val="center"/>
        </w:trPr>
        <w:tc>
          <w:tcPr>
            <w:tcW w:w="2494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E22C7">
              <w:rPr>
                <w:sz w:val="18"/>
                <w:szCs w:val="18"/>
              </w:rPr>
              <w:t>&lt; 10 kg/s</w:t>
            </w:r>
          </w:p>
        </w:tc>
        <w:tc>
          <w:tcPr>
            <w:tcW w:w="1701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1E22C7">
              <w:rPr>
                <w:sz w:val="18"/>
                <w:szCs w:val="18"/>
              </w:rPr>
              <w:t>&lt; 1,000 kg/s</w:t>
            </w:r>
          </w:p>
        </w:tc>
        <w:tc>
          <w:tcPr>
            <w:tcW w:w="1701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1E22C7">
              <w:rPr>
                <w:rFonts w:cs="Times New Roman"/>
                <w:sz w:val="18"/>
                <w:szCs w:val="18"/>
              </w:rPr>
              <w:t>0.065</w:t>
            </w:r>
          </w:p>
        </w:tc>
        <w:tc>
          <w:tcPr>
            <w:tcW w:w="1702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1E22C7">
              <w:rPr>
                <w:rFonts w:cs="Times New Roman"/>
                <w:sz w:val="18"/>
                <w:szCs w:val="18"/>
              </w:rPr>
              <w:t>0.02</w:t>
            </w:r>
          </w:p>
        </w:tc>
        <w:tc>
          <w:tcPr>
            <w:tcW w:w="1701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1E22C7">
              <w:rPr>
                <w:rFonts w:cs="Times New Roman"/>
                <w:sz w:val="18"/>
                <w:szCs w:val="18"/>
              </w:rPr>
              <w:t>0.20</w:t>
            </w:r>
          </w:p>
        </w:tc>
      </w:tr>
      <w:tr w:rsidR="00DF238E" w:rsidRPr="00EB7A97" w:rsidTr="001E22C7">
        <w:trPr>
          <w:trHeight w:val="193"/>
          <w:jc w:val="center"/>
        </w:trPr>
        <w:tc>
          <w:tcPr>
            <w:tcW w:w="2494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E22C7">
              <w:rPr>
                <w:sz w:val="18"/>
                <w:szCs w:val="18"/>
              </w:rPr>
              <w:t>10 – 100 kg/s</w:t>
            </w:r>
          </w:p>
        </w:tc>
        <w:tc>
          <w:tcPr>
            <w:tcW w:w="1701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1E22C7">
              <w:rPr>
                <w:rFonts w:cs="Times New Roman"/>
                <w:sz w:val="18"/>
                <w:szCs w:val="18"/>
              </w:rPr>
              <w:t>1,000 – 10,000 kg</w:t>
            </w:r>
          </w:p>
        </w:tc>
        <w:tc>
          <w:tcPr>
            <w:tcW w:w="1701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1E22C7">
              <w:rPr>
                <w:rFonts w:cs="Times New Roman"/>
                <w:sz w:val="18"/>
                <w:szCs w:val="18"/>
              </w:rPr>
              <w:t>0.065</w:t>
            </w:r>
          </w:p>
        </w:tc>
        <w:tc>
          <w:tcPr>
            <w:tcW w:w="1702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E22C7">
              <w:rPr>
                <w:sz w:val="18"/>
                <w:szCs w:val="18"/>
              </w:rPr>
              <w:t>0.04</w:t>
            </w:r>
          </w:p>
        </w:tc>
        <w:tc>
          <w:tcPr>
            <w:tcW w:w="1701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E22C7">
              <w:rPr>
                <w:sz w:val="18"/>
                <w:szCs w:val="18"/>
              </w:rPr>
              <w:t>0.50</w:t>
            </w:r>
          </w:p>
        </w:tc>
      </w:tr>
      <w:tr w:rsidR="00DF238E" w:rsidRPr="00EB7A97" w:rsidTr="001E22C7">
        <w:trPr>
          <w:trHeight w:val="193"/>
          <w:jc w:val="center"/>
        </w:trPr>
        <w:tc>
          <w:tcPr>
            <w:tcW w:w="2494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E22C7">
              <w:rPr>
                <w:sz w:val="18"/>
                <w:szCs w:val="18"/>
              </w:rPr>
              <w:t>&gt;100 kg/s</w:t>
            </w:r>
          </w:p>
        </w:tc>
        <w:tc>
          <w:tcPr>
            <w:tcW w:w="1701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E22C7">
              <w:rPr>
                <w:sz w:val="18"/>
                <w:szCs w:val="18"/>
              </w:rPr>
              <w:t>&gt;10,000 kg</w:t>
            </w:r>
          </w:p>
        </w:tc>
        <w:tc>
          <w:tcPr>
            <w:tcW w:w="1701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E22C7">
              <w:rPr>
                <w:rFonts w:cs="Times New Roman"/>
                <w:sz w:val="18"/>
                <w:szCs w:val="18"/>
              </w:rPr>
              <w:t>0.065</w:t>
            </w:r>
          </w:p>
        </w:tc>
        <w:tc>
          <w:tcPr>
            <w:tcW w:w="1702" w:type="dxa"/>
            <w:vAlign w:val="bottom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E22C7">
              <w:rPr>
                <w:sz w:val="18"/>
                <w:szCs w:val="18"/>
              </w:rPr>
              <w:t>0.09</w:t>
            </w:r>
          </w:p>
        </w:tc>
        <w:tc>
          <w:tcPr>
            <w:tcW w:w="1701" w:type="dxa"/>
            <w:vAlign w:val="center"/>
          </w:tcPr>
          <w:p w:rsidR="00DF238E" w:rsidRPr="001E22C7" w:rsidRDefault="00DF238E" w:rsidP="001E22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E22C7">
              <w:rPr>
                <w:sz w:val="18"/>
                <w:szCs w:val="18"/>
              </w:rPr>
              <w:t>0.70</w:t>
            </w:r>
          </w:p>
        </w:tc>
      </w:tr>
    </w:tbl>
    <w:p w:rsidR="00DF238E" w:rsidRPr="001E22C7" w:rsidRDefault="00DF238E" w:rsidP="004A1FF0">
      <w:pPr>
        <w:spacing w:after="60" w:line="240" w:lineRule="auto"/>
        <w:rPr>
          <w:b/>
          <w:u w:val="single"/>
        </w:rPr>
      </w:pPr>
      <w:r w:rsidRPr="001E22C7">
        <w:rPr>
          <w:b/>
          <w:u w:val="single"/>
        </w:rPr>
        <w:t>Reactividad de sustancias</w:t>
      </w:r>
    </w:p>
    <w:p w:rsidR="00DF238E" w:rsidRDefault="00DF238E" w:rsidP="001E22C7">
      <w:pPr>
        <w:spacing w:after="60" w:line="240" w:lineRule="auto"/>
      </w:pPr>
      <w:r>
        <w:t>Baja reactividad: metano, amoníaco.</w:t>
      </w:r>
    </w:p>
    <w:p w:rsidR="00DF238E" w:rsidRDefault="00DF238E" w:rsidP="001E22C7">
      <w:pPr>
        <w:spacing w:after="60" w:line="240" w:lineRule="auto"/>
      </w:pPr>
      <w:r>
        <w:t>Media reactividad: etano, propano, butano, etileno, 1,3-butadieno</w:t>
      </w:r>
    </w:p>
    <w:p w:rsidR="00DF238E" w:rsidRDefault="00DF238E" w:rsidP="001E22C7">
      <w:pPr>
        <w:spacing w:after="60" w:line="240" w:lineRule="auto"/>
      </w:pPr>
      <w:r>
        <w:t>Alta reactividad: sulfuro de hidrógeno, acetileno, óxido de etileno, benceno, nafta</w:t>
      </w:r>
    </w:p>
    <w:p w:rsidR="00DF238E" w:rsidRDefault="00DF238E" w:rsidP="004A1FF0">
      <w:pPr>
        <w:spacing w:after="60" w:line="240" w:lineRule="auto"/>
      </w:pPr>
    </w:p>
    <w:p w:rsidR="00DF238E" w:rsidRDefault="00DF238E">
      <w:pPr>
        <w:spacing w:before="0" w:after="0" w:line="240" w:lineRule="auto"/>
        <w:jc w:val="left"/>
      </w:pPr>
      <w:r>
        <w:br w:type="page"/>
      </w:r>
    </w:p>
    <w:tbl>
      <w:tblPr>
        <w:tblW w:w="9299" w:type="dxa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ook w:val="0000" w:firstRow="0" w:lastRow="0" w:firstColumn="0" w:lastColumn="0" w:noHBand="0" w:noVBand="0"/>
      </w:tblPr>
      <w:tblGrid>
        <w:gridCol w:w="3099"/>
        <w:gridCol w:w="3099"/>
        <w:gridCol w:w="3101"/>
      </w:tblGrid>
      <w:tr w:rsidR="00DF238E" w:rsidRPr="00EB7A97" w:rsidTr="00274AF8">
        <w:trPr>
          <w:trHeight w:val="425"/>
          <w:jc w:val="center"/>
        </w:trPr>
        <w:tc>
          <w:tcPr>
            <w:tcW w:w="9299" w:type="dxa"/>
            <w:gridSpan w:val="3"/>
            <w:shd w:val="clear" w:color="auto" w:fill="000080"/>
            <w:vAlign w:val="center"/>
          </w:tcPr>
          <w:p w:rsidR="00DF238E" w:rsidRPr="00EB7A97" w:rsidRDefault="00DF238E" w:rsidP="001E22C7">
            <w:pPr>
              <w:spacing w:before="0"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  <w:lang w:val="es-ES_tradnl"/>
              </w:rPr>
            </w:pPr>
            <w:r>
              <w:rPr>
                <w:b/>
                <w:bCs/>
                <w:color w:val="FFFFFF"/>
                <w:sz w:val="20"/>
                <w:szCs w:val="20"/>
                <w:lang w:val="es-ES_tradnl"/>
              </w:rPr>
              <w:lastRenderedPageBreak/>
              <w:t>Tabla A4</w:t>
            </w:r>
            <w:r w:rsidRPr="00EB7A97">
              <w:rPr>
                <w:b/>
                <w:bCs/>
                <w:color w:val="FFFFFF"/>
                <w:sz w:val="20"/>
                <w:szCs w:val="20"/>
                <w:lang w:val="es-ES_tradnl"/>
              </w:rPr>
              <w:t xml:space="preserve">: </w:t>
            </w:r>
            <w:r w:rsidRPr="00B8052E">
              <w:rPr>
                <w:b/>
                <w:bCs/>
                <w:color w:val="FFFFFF"/>
                <w:sz w:val="20"/>
                <w:szCs w:val="20"/>
                <w:lang w:val="es-ES_tradnl"/>
              </w:rPr>
              <w:t xml:space="preserve">Probabilidad de ignición directa para </w:t>
            </w:r>
            <w:r>
              <w:rPr>
                <w:b/>
                <w:bCs/>
                <w:color w:val="FFFFFF"/>
                <w:sz w:val="20"/>
                <w:szCs w:val="20"/>
                <w:lang w:val="es-ES_tradnl"/>
              </w:rPr>
              <w:t>vehículos</w:t>
            </w:r>
          </w:p>
        </w:tc>
      </w:tr>
      <w:tr w:rsidR="00DF238E" w:rsidRPr="00EB7A97" w:rsidTr="00274AF8">
        <w:trPr>
          <w:trHeight w:val="193"/>
          <w:jc w:val="center"/>
        </w:trPr>
        <w:tc>
          <w:tcPr>
            <w:tcW w:w="3099" w:type="dxa"/>
            <w:vMerge w:val="restart"/>
            <w:vAlign w:val="center"/>
          </w:tcPr>
          <w:p w:rsidR="00DF238E" w:rsidRPr="00EB7A97" w:rsidRDefault="00DF238E" w:rsidP="00274AF8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Vehículo</w:t>
            </w:r>
          </w:p>
        </w:tc>
        <w:tc>
          <w:tcPr>
            <w:tcW w:w="6200" w:type="dxa"/>
            <w:gridSpan w:val="2"/>
            <w:shd w:val="clear" w:color="auto" w:fill="E6E6E6"/>
            <w:vAlign w:val="center"/>
          </w:tcPr>
          <w:p w:rsidR="00DF238E" w:rsidRPr="00EB7A97" w:rsidRDefault="00DF238E" w:rsidP="005C4372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Fuga</w:t>
            </w:r>
          </w:p>
        </w:tc>
      </w:tr>
      <w:tr w:rsidR="00DF238E" w:rsidRPr="00EB7A97" w:rsidTr="00274AF8">
        <w:trPr>
          <w:trHeight w:val="193"/>
          <w:jc w:val="center"/>
        </w:trPr>
        <w:tc>
          <w:tcPr>
            <w:tcW w:w="3099" w:type="dxa"/>
            <w:vMerge/>
            <w:vAlign w:val="center"/>
          </w:tcPr>
          <w:p w:rsidR="00DF238E" w:rsidRPr="001E22C7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99" w:type="dxa"/>
            <w:vAlign w:val="center"/>
          </w:tcPr>
          <w:p w:rsidR="00DF238E" w:rsidRPr="001E22C7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1E22C7">
              <w:rPr>
                <w:b/>
                <w:sz w:val="18"/>
                <w:szCs w:val="18"/>
              </w:rPr>
              <w:t>Continua</w:t>
            </w:r>
          </w:p>
        </w:tc>
        <w:tc>
          <w:tcPr>
            <w:tcW w:w="3101" w:type="dxa"/>
            <w:vAlign w:val="center"/>
          </w:tcPr>
          <w:p w:rsidR="00DF238E" w:rsidRPr="001E22C7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1E22C7">
              <w:rPr>
                <w:b/>
                <w:sz w:val="18"/>
                <w:szCs w:val="18"/>
              </w:rPr>
              <w:t>Instantánea</w:t>
            </w:r>
          </w:p>
        </w:tc>
      </w:tr>
      <w:tr w:rsidR="00DF238E" w:rsidRPr="00EB7A97" w:rsidTr="00274AF8">
        <w:trPr>
          <w:trHeight w:val="193"/>
          <w:jc w:val="center"/>
        </w:trPr>
        <w:tc>
          <w:tcPr>
            <w:tcW w:w="3099" w:type="dxa"/>
          </w:tcPr>
          <w:p w:rsidR="00DF238E" w:rsidRPr="00274AF8" w:rsidRDefault="00DF238E" w:rsidP="00274AF8">
            <w:pPr>
              <w:spacing w:before="0" w:after="0" w:line="240" w:lineRule="auto"/>
              <w:rPr>
                <w:sz w:val="20"/>
                <w:szCs w:val="20"/>
              </w:rPr>
            </w:pPr>
            <w:r w:rsidRPr="00274AF8">
              <w:rPr>
                <w:sz w:val="20"/>
                <w:szCs w:val="20"/>
              </w:rPr>
              <w:t>Camión cisterna</w:t>
            </w:r>
          </w:p>
        </w:tc>
        <w:tc>
          <w:tcPr>
            <w:tcW w:w="3099" w:type="dxa"/>
            <w:vAlign w:val="center"/>
          </w:tcPr>
          <w:p w:rsidR="00DF238E" w:rsidRPr="00274AF8" w:rsidRDefault="00DF238E" w:rsidP="00274AF8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274AF8">
              <w:rPr>
                <w:sz w:val="20"/>
                <w:szCs w:val="20"/>
              </w:rPr>
              <w:t>0.1</w:t>
            </w:r>
          </w:p>
        </w:tc>
        <w:tc>
          <w:tcPr>
            <w:tcW w:w="3101" w:type="dxa"/>
            <w:vAlign w:val="center"/>
          </w:tcPr>
          <w:p w:rsidR="00DF238E" w:rsidRPr="00274AF8" w:rsidRDefault="00DF238E" w:rsidP="00274AF8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274AF8">
              <w:rPr>
                <w:sz w:val="20"/>
                <w:szCs w:val="20"/>
              </w:rPr>
              <w:t>0.4</w:t>
            </w:r>
          </w:p>
        </w:tc>
      </w:tr>
      <w:tr w:rsidR="00DF238E" w:rsidRPr="00EB7A97" w:rsidTr="00274AF8">
        <w:trPr>
          <w:trHeight w:val="193"/>
          <w:jc w:val="center"/>
        </w:trPr>
        <w:tc>
          <w:tcPr>
            <w:tcW w:w="3099" w:type="dxa"/>
          </w:tcPr>
          <w:p w:rsidR="00DF238E" w:rsidRPr="00274AF8" w:rsidRDefault="00DF238E" w:rsidP="00274AF8">
            <w:pPr>
              <w:spacing w:before="0" w:after="0" w:line="240" w:lineRule="auto"/>
              <w:rPr>
                <w:sz w:val="20"/>
                <w:szCs w:val="20"/>
              </w:rPr>
            </w:pPr>
            <w:r w:rsidRPr="00274AF8">
              <w:rPr>
                <w:sz w:val="20"/>
                <w:szCs w:val="20"/>
              </w:rPr>
              <w:t>Vagón cisterna</w:t>
            </w:r>
          </w:p>
        </w:tc>
        <w:tc>
          <w:tcPr>
            <w:tcW w:w="3099" w:type="dxa"/>
            <w:vAlign w:val="center"/>
          </w:tcPr>
          <w:p w:rsidR="00DF238E" w:rsidRPr="00274AF8" w:rsidRDefault="00DF238E" w:rsidP="00274AF8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274AF8">
              <w:rPr>
                <w:sz w:val="20"/>
                <w:szCs w:val="20"/>
              </w:rPr>
              <w:t>0.1</w:t>
            </w:r>
          </w:p>
        </w:tc>
        <w:tc>
          <w:tcPr>
            <w:tcW w:w="3101" w:type="dxa"/>
            <w:vAlign w:val="center"/>
          </w:tcPr>
          <w:p w:rsidR="00DF238E" w:rsidRPr="00274AF8" w:rsidRDefault="00DF238E" w:rsidP="00274AF8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274AF8">
              <w:rPr>
                <w:sz w:val="20"/>
                <w:szCs w:val="20"/>
              </w:rPr>
              <w:t>0.8</w:t>
            </w:r>
          </w:p>
        </w:tc>
      </w:tr>
    </w:tbl>
    <w:p w:rsidR="00DF238E" w:rsidRDefault="00DF238E" w:rsidP="004A1FF0">
      <w:pPr>
        <w:spacing w:after="60" w:line="240" w:lineRule="auto"/>
      </w:pPr>
    </w:p>
    <w:tbl>
      <w:tblPr>
        <w:tblW w:w="9299" w:type="dxa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ook w:val="0000" w:firstRow="0" w:lastRow="0" w:firstColumn="0" w:lastColumn="0" w:noHBand="0" w:noVBand="0"/>
      </w:tblPr>
      <w:tblGrid>
        <w:gridCol w:w="4649"/>
        <w:gridCol w:w="4650"/>
      </w:tblGrid>
      <w:tr w:rsidR="00DF238E" w:rsidRPr="00EB7A97" w:rsidTr="00DB2065">
        <w:trPr>
          <w:trHeight w:val="425"/>
          <w:jc w:val="center"/>
        </w:trPr>
        <w:tc>
          <w:tcPr>
            <w:tcW w:w="4678" w:type="dxa"/>
            <w:gridSpan w:val="2"/>
            <w:shd w:val="clear" w:color="auto" w:fill="000080"/>
            <w:vAlign w:val="center"/>
          </w:tcPr>
          <w:p w:rsidR="00DF238E" w:rsidRPr="00EB7A97" w:rsidRDefault="00DF238E" w:rsidP="004B6DB5">
            <w:pPr>
              <w:spacing w:before="0"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  <w:lang w:val="es-ES_tradnl"/>
              </w:rPr>
            </w:pPr>
            <w:r>
              <w:rPr>
                <w:b/>
                <w:bCs/>
                <w:color w:val="FFFFFF"/>
                <w:sz w:val="20"/>
                <w:szCs w:val="20"/>
                <w:lang w:val="es-ES_tradnl"/>
              </w:rPr>
              <w:t>Tabla A5</w:t>
            </w:r>
            <w:r w:rsidRPr="00EB7A97">
              <w:rPr>
                <w:b/>
                <w:bCs/>
                <w:color w:val="FFFFFF"/>
                <w:sz w:val="20"/>
                <w:szCs w:val="20"/>
                <w:lang w:val="es-ES_tradnl"/>
              </w:rPr>
              <w:t xml:space="preserve">: </w:t>
            </w:r>
            <w:r w:rsidRPr="00B8052E">
              <w:rPr>
                <w:b/>
                <w:bCs/>
                <w:color w:val="FFFFFF"/>
                <w:sz w:val="20"/>
                <w:szCs w:val="20"/>
                <w:lang w:val="es-ES_tradnl"/>
              </w:rPr>
              <w:t xml:space="preserve">Probabilidad de </w:t>
            </w:r>
            <w:r>
              <w:rPr>
                <w:b/>
                <w:bCs/>
                <w:color w:val="FFFFFF"/>
                <w:sz w:val="20"/>
                <w:szCs w:val="20"/>
                <w:lang w:val="es-ES_tradnl"/>
              </w:rPr>
              <w:t>explos</w:t>
            </w:r>
            <w:r w:rsidRPr="00B8052E">
              <w:rPr>
                <w:b/>
                <w:bCs/>
                <w:color w:val="FFFFFF"/>
                <w:sz w:val="20"/>
                <w:szCs w:val="20"/>
                <w:lang w:val="es-ES_tradnl"/>
              </w:rPr>
              <w:t>ión d</w:t>
            </w:r>
            <w:r>
              <w:rPr>
                <w:b/>
                <w:bCs/>
                <w:color w:val="FFFFFF"/>
                <w:sz w:val="20"/>
                <w:szCs w:val="20"/>
                <w:lang w:val="es-ES_tradnl"/>
              </w:rPr>
              <w:t>e nubes no confinadas en unidades de proceso</w:t>
            </w:r>
          </w:p>
        </w:tc>
      </w:tr>
      <w:tr w:rsidR="00DF238E" w:rsidRPr="00EB7A97" w:rsidTr="00DB2065">
        <w:trPr>
          <w:trHeight w:val="193"/>
          <w:jc w:val="center"/>
        </w:trPr>
        <w:tc>
          <w:tcPr>
            <w:tcW w:w="4678" w:type="dxa"/>
            <w:shd w:val="clear" w:color="auto" w:fill="E6E6E6"/>
          </w:tcPr>
          <w:p w:rsidR="00DF238E" w:rsidRPr="001E22C7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Evento</w:t>
            </w:r>
          </w:p>
        </w:tc>
        <w:tc>
          <w:tcPr>
            <w:tcW w:w="4678" w:type="dxa"/>
            <w:shd w:val="clear" w:color="auto" w:fill="E6E6E6"/>
            <w:vAlign w:val="center"/>
          </w:tcPr>
          <w:p w:rsidR="00DF238E" w:rsidRPr="001E22C7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Probabilidad</w:t>
            </w:r>
          </w:p>
        </w:tc>
      </w:tr>
      <w:tr w:rsidR="00DF238E" w:rsidRPr="00EB7A97" w:rsidTr="00DB2065">
        <w:trPr>
          <w:trHeight w:val="193"/>
          <w:jc w:val="center"/>
        </w:trPr>
        <w:tc>
          <w:tcPr>
            <w:tcW w:w="4678" w:type="dxa"/>
          </w:tcPr>
          <w:p w:rsidR="00DF238E" w:rsidRPr="00385896" w:rsidRDefault="00DF238E" w:rsidP="00344D59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DB2065">
              <w:rPr>
                <w:i/>
                <w:sz w:val="20"/>
                <w:szCs w:val="20"/>
              </w:rPr>
              <w:t>Flash fire</w:t>
            </w:r>
            <w:r>
              <w:rPr>
                <w:sz w:val="20"/>
                <w:szCs w:val="20"/>
              </w:rPr>
              <w:t xml:space="preserve"> sin efectos mecánicos (UCVE)</w:t>
            </w:r>
          </w:p>
        </w:tc>
        <w:tc>
          <w:tcPr>
            <w:tcW w:w="4678" w:type="dxa"/>
            <w:vAlign w:val="center"/>
          </w:tcPr>
          <w:p w:rsidR="00DF238E" w:rsidRPr="00385896" w:rsidRDefault="00DF238E" w:rsidP="00DB2065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0"/>
                <w:szCs w:val="20"/>
              </w:rPr>
              <w:t>0.60</w:t>
            </w:r>
          </w:p>
        </w:tc>
      </w:tr>
      <w:tr w:rsidR="00DF238E" w:rsidRPr="00EB7A97" w:rsidTr="00DB2065">
        <w:trPr>
          <w:trHeight w:val="193"/>
          <w:jc w:val="center"/>
        </w:trPr>
        <w:tc>
          <w:tcPr>
            <w:tcW w:w="4678" w:type="dxa"/>
          </w:tcPr>
          <w:p w:rsidR="00DF238E" w:rsidRPr="00385896" w:rsidRDefault="00DF238E" w:rsidP="00344D59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DB2065">
              <w:rPr>
                <w:i/>
                <w:sz w:val="20"/>
                <w:szCs w:val="20"/>
              </w:rPr>
              <w:t>Flash fire</w:t>
            </w:r>
            <w:r>
              <w:rPr>
                <w:sz w:val="20"/>
                <w:szCs w:val="20"/>
              </w:rPr>
              <w:t xml:space="preserve"> con efectos mecánicos (VCE)</w:t>
            </w:r>
          </w:p>
        </w:tc>
        <w:tc>
          <w:tcPr>
            <w:tcW w:w="4678" w:type="dxa"/>
            <w:vAlign w:val="center"/>
          </w:tcPr>
          <w:p w:rsidR="00DF238E" w:rsidRPr="008279A3" w:rsidRDefault="00DF238E" w:rsidP="00DB2065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0.40</w:t>
            </w:r>
          </w:p>
        </w:tc>
      </w:tr>
    </w:tbl>
    <w:p w:rsidR="00DF238E" w:rsidRDefault="00DF238E" w:rsidP="004A1FF0">
      <w:pPr>
        <w:spacing w:after="60" w:line="240" w:lineRule="auto"/>
      </w:pPr>
    </w:p>
    <w:tbl>
      <w:tblPr>
        <w:tblW w:w="9326" w:type="dxa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ook w:val="0000" w:firstRow="0" w:lastRow="0" w:firstColumn="0" w:lastColumn="0" w:noHBand="0" w:noVBand="0"/>
      </w:tblPr>
      <w:tblGrid>
        <w:gridCol w:w="2786"/>
        <w:gridCol w:w="3539"/>
        <w:gridCol w:w="1601"/>
        <w:gridCol w:w="1400"/>
      </w:tblGrid>
      <w:tr w:rsidR="00DF238E" w:rsidRPr="00503379" w:rsidTr="005C4372">
        <w:trPr>
          <w:trHeight w:val="425"/>
          <w:jc w:val="center"/>
        </w:trPr>
        <w:tc>
          <w:tcPr>
            <w:tcW w:w="9326" w:type="dxa"/>
            <w:gridSpan w:val="4"/>
            <w:shd w:val="clear" w:color="auto" w:fill="000080"/>
            <w:vAlign w:val="center"/>
          </w:tcPr>
          <w:p w:rsidR="00DF238E" w:rsidRPr="00503379" w:rsidRDefault="00DF238E" w:rsidP="00BA6A0C">
            <w:pPr>
              <w:spacing w:before="0"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</w:rPr>
              <w:t>Tabla A</w:t>
            </w:r>
            <w:r w:rsidRPr="00503379">
              <w:rPr>
                <w:b/>
                <w:sz w:val="20"/>
                <w:szCs w:val="20"/>
              </w:rPr>
              <w:t>6: Probabilidad de fallo en demanda (PFD) de IPL pasivas</w:t>
            </w:r>
          </w:p>
        </w:tc>
      </w:tr>
      <w:tr w:rsidR="00DF238E" w:rsidRPr="0088274A" w:rsidTr="005C4372">
        <w:trPr>
          <w:trHeight w:val="196"/>
          <w:jc w:val="center"/>
        </w:trPr>
        <w:tc>
          <w:tcPr>
            <w:tcW w:w="2786" w:type="dxa"/>
            <w:shd w:val="clear" w:color="auto" w:fill="E6E6E6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 w:rsidRPr="002B6AF9">
              <w:rPr>
                <w:b/>
                <w:bCs/>
                <w:color w:val="000080"/>
                <w:lang w:val="es-ES_tradnl"/>
              </w:rPr>
              <w:t>Capa de protección independiente</w:t>
            </w:r>
          </w:p>
        </w:tc>
        <w:tc>
          <w:tcPr>
            <w:tcW w:w="3539" w:type="dxa"/>
            <w:shd w:val="clear" w:color="auto" w:fill="E6E6E6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 w:rsidRPr="002B6AF9">
              <w:rPr>
                <w:b/>
                <w:bCs/>
                <w:color w:val="000080"/>
                <w:lang w:val="es-ES_tradnl"/>
              </w:rPr>
              <w:t>Comentarios</w:t>
            </w:r>
          </w:p>
        </w:tc>
        <w:tc>
          <w:tcPr>
            <w:tcW w:w="1601" w:type="dxa"/>
            <w:shd w:val="clear" w:color="auto" w:fill="E6E6E6"/>
          </w:tcPr>
          <w:p w:rsidR="00DF238E" w:rsidRPr="002B6AF9" w:rsidRDefault="00DF238E" w:rsidP="005C4372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 w:rsidRPr="002B6AF9">
              <w:rPr>
                <w:b/>
                <w:bCs/>
                <w:color w:val="000080"/>
                <w:lang w:val="es-ES_tradnl"/>
              </w:rPr>
              <w:t xml:space="preserve">Probabilidad de fallo </w:t>
            </w:r>
            <w:r>
              <w:rPr>
                <w:b/>
                <w:bCs/>
                <w:color w:val="000080"/>
                <w:lang w:val="es-ES_tradnl"/>
              </w:rPr>
              <w:t xml:space="preserve">PFD </w:t>
            </w:r>
            <w:r w:rsidRPr="002B6AF9">
              <w:rPr>
                <w:b/>
                <w:bCs/>
                <w:color w:val="000080"/>
                <w:lang w:val="es-ES_tradnl"/>
              </w:rPr>
              <w:t>típica</w:t>
            </w:r>
          </w:p>
        </w:tc>
        <w:tc>
          <w:tcPr>
            <w:tcW w:w="1400" w:type="dxa"/>
            <w:shd w:val="clear" w:color="auto" w:fill="E6E6E6"/>
            <w:vAlign w:val="center"/>
          </w:tcPr>
          <w:p w:rsidR="00DF238E" w:rsidRPr="0088274A" w:rsidRDefault="00DF238E" w:rsidP="005C4372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>
              <w:rPr>
                <w:b/>
                <w:bCs/>
                <w:color w:val="000080"/>
                <w:lang w:val="es-ES_tradnl"/>
              </w:rPr>
              <w:t>RRF</w:t>
            </w:r>
          </w:p>
        </w:tc>
      </w:tr>
      <w:tr w:rsidR="00DF238E" w:rsidRPr="0088274A" w:rsidTr="005C4372">
        <w:trPr>
          <w:trHeight w:val="193"/>
          <w:jc w:val="center"/>
        </w:trPr>
        <w:tc>
          <w:tcPr>
            <w:tcW w:w="2786" w:type="dxa"/>
          </w:tcPr>
          <w:p w:rsidR="00DF238E" w:rsidRPr="002B6AF9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rPr>
                <w:sz w:val="18"/>
                <w:szCs w:val="18"/>
                <w:lang w:val="es-ES_tradnl"/>
              </w:rPr>
            </w:pPr>
            <w:r w:rsidRPr="002B6AF9">
              <w:rPr>
                <w:sz w:val="18"/>
                <w:szCs w:val="18"/>
                <w:lang w:val="es-ES_tradnl"/>
              </w:rPr>
              <w:t>Venteo abierto (sin válvula)</w:t>
            </w:r>
          </w:p>
        </w:tc>
        <w:tc>
          <w:tcPr>
            <w:tcW w:w="3539" w:type="dxa"/>
          </w:tcPr>
          <w:p w:rsidR="00DF238E" w:rsidRPr="002B6AF9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ind w:left="70"/>
              <w:rPr>
                <w:sz w:val="18"/>
                <w:szCs w:val="18"/>
                <w:lang w:val="es-ES_tradnl"/>
              </w:rPr>
            </w:pPr>
            <w:r w:rsidRPr="002B6AF9">
              <w:rPr>
                <w:sz w:val="18"/>
                <w:szCs w:val="18"/>
                <w:lang w:val="es-ES_tradnl"/>
              </w:rPr>
              <w:t>Previene una sobrepresión</w:t>
            </w:r>
          </w:p>
        </w:tc>
        <w:tc>
          <w:tcPr>
            <w:tcW w:w="1601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center"/>
            </w:pPr>
            <w:r w:rsidRPr="002B6AF9">
              <w:t>10</w:t>
            </w:r>
            <w:r w:rsidRPr="002B6AF9">
              <w:rPr>
                <w:position w:val="6"/>
                <w:vertAlign w:val="superscript"/>
              </w:rPr>
              <w:t>-2</w:t>
            </w:r>
          </w:p>
        </w:tc>
        <w:tc>
          <w:tcPr>
            <w:tcW w:w="1400" w:type="dxa"/>
            <w:vAlign w:val="center"/>
          </w:tcPr>
          <w:p w:rsidR="00DF238E" w:rsidRPr="00A75C97" w:rsidRDefault="00DF238E" w:rsidP="005C4372">
            <w:pPr>
              <w:spacing w:before="0" w:after="0" w:line="240" w:lineRule="auto"/>
              <w:jc w:val="center"/>
            </w:pPr>
            <w:r>
              <w:t>100</w:t>
            </w:r>
          </w:p>
        </w:tc>
      </w:tr>
      <w:tr w:rsidR="00DF238E" w:rsidRPr="0088274A" w:rsidTr="005C4372">
        <w:trPr>
          <w:trHeight w:val="193"/>
          <w:jc w:val="center"/>
        </w:trPr>
        <w:tc>
          <w:tcPr>
            <w:tcW w:w="2786" w:type="dxa"/>
          </w:tcPr>
          <w:p w:rsidR="00DF238E" w:rsidRPr="002B6AF9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rPr>
                <w:sz w:val="18"/>
                <w:szCs w:val="18"/>
                <w:lang w:val="es-ES_tradnl"/>
              </w:rPr>
            </w:pPr>
            <w:r w:rsidRPr="002B6AF9">
              <w:rPr>
                <w:sz w:val="18"/>
                <w:szCs w:val="18"/>
                <w:lang w:val="es-ES_tradnl"/>
              </w:rPr>
              <w:t>Supresor de Llama/detonación</w:t>
            </w:r>
          </w:p>
        </w:tc>
        <w:tc>
          <w:tcPr>
            <w:tcW w:w="3539" w:type="dxa"/>
          </w:tcPr>
          <w:p w:rsidR="00DF238E" w:rsidRPr="002B6AF9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ind w:left="70"/>
              <w:rPr>
                <w:sz w:val="18"/>
                <w:szCs w:val="18"/>
                <w:lang w:val="es-ES_tradnl"/>
              </w:rPr>
            </w:pPr>
            <w:r w:rsidRPr="002B6AF9">
              <w:rPr>
                <w:sz w:val="18"/>
                <w:szCs w:val="18"/>
                <w:lang w:val="es-ES_tradnl"/>
              </w:rPr>
              <w:t>Si se diseña, instala y mantiene de adecuadamente eliminará el retroceso potencial de la llama por una tubería hacia el interior de un tanque o depósito.</w:t>
            </w:r>
          </w:p>
        </w:tc>
        <w:tc>
          <w:tcPr>
            <w:tcW w:w="1601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center"/>
            </w:pPr>
            <w:r w:rsidRPr="002B6AF9">
              <w:t>10</w:t>
            </w:r>
            <w:r w:rsidRPr="002B6AF9">
              <w:rPr>
                <w:position w:val="6"/>
                <w:vertAlign w:val="superscript"/>
              </w:rPr>
              <w:t>-2</w:t>
            </w:r>
          </w:p>
        </w:tc>
        <w:tc>
          <w:tcPr>
            <w:tcW w:w="1400" w:type="dxa"/>
            <w:vAlign w:val="center"/>
          </w:tcPr>
          <w:p w:rsidR="00DF238E" w:rsidRPr="00A75C97" w:rsidRDefault="00DF238E" w:rsidP="005C4372">
            <w:pPr>
              <w:spacing w:before="0" w:after="0" w:line="240" w:lineRule="auto"/>
              <w:jc w:val="center"/>
            </w:pPr>
            <w:r>
              <w:t>100</w:t>
            </w:r>
          </w:p>
        </w:tc>
      </w:tr>
      <w:tr w:rsidR="00DF238E" w:rsidRPr="0088274A" w:rsidTr="005C4372">
        <w:trPr>
          <w:trHeight w:val="193"/>
          <w:jc w:val="center"/>
        </w:trPr>
        <w:tc>
          <w:tcPr>
            <w:tcW w:w="2786" w:type="dxa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Válvula antiretorno única en servicio de líquido limpio</w:t>
            </w:r>
          </w:p>
        </w:tc>
        <w:tc>
          <w:tcPr>
            <w:tcW w:w="3539" w:type="dxa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Previene el flujo inverso (líquidos).</w:t>
            </w:r>
          </w:p>
        </w:tc>
        <w:tc>
          <w:tcPr>
            <w:tcW w:w="1601" w:type="dxa"/>
            <w:vAlign w:val="center"/>
          </w:tcPr>
          <w:p w:rsidR="00DF238E" w:rsidRPr="002B6AF9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ind w:left="70"/>
              <w:jc w:val="center"/>
              <w:rPr>
                <w:color w:val="000000"/>
              </w:rPr>
            </w:pPr>
            <w:r w:rsidRPr="002B6AF9">
              <w:t>10</w:t>
            </w:r>
            <w:r w:rsidRPr="002B6AF9">
              <w:rPr>
                <w:vertAlign w:val="superscript"/>
              </w:rPr>
              <w:t xml:space="preserve">-1 - </w:t>
            </w:r>
            <w:r w:rsidRPr="002B6AF9">
              <w:t>10</w:t>
            </w:r>
            <w:r w:rsidRPr="002B6AF9">
              <w:rPr>
                <w:vertAlign w:val="superscript"/>
              </w:rPr>
              <w:t>-2</w:t>
            </w:r>
          </w:p>
        </w:tc>
        <w:tc>
          <w:tcPr>
            <w:tcW w:w="1400" w:type="dxa"/>
            <w:vAlign w:val="center"/>
          </w:tcPr>
          <w:p w:rsidR="00DF238E" w:rsidRPr="00A75C97" w:rsidRDefault="00DF238E" w:rsidP="005C4372">
            <w:pPr>
              <w:spacing w:before="0" w:after="0" w:line="240" w:lineRule="auto"/>
              <w:jc w:val="center"/>
            </w:pPr>
            <w:r>
              <w:t>10</w:t>
            </w:r>
          </w:p>
        </w:tc>
      </w:tr>
      <w:tr w:rsidR="00DF238E" w:rsidRPr="0088274A" w:rsidTr="005C4372">
        <w:trPr>
          <w:trHeight w:val="193"/>
          <w:jc w:val="center"/>
        </w:trPr>
        <w:tc>
          <w:tcPr>
            <w:tcW w:w="2786" w:type="dxa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Válvula antiretorno única en servicio de gas</w:t>
            </w:r>
          </w:p>
        </w:tc>
        <w:tc>
          <w:tcPr>
            <w:tcW w:w="3539" w:type="dxa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Previene el flujo inverso (gases).</w:t>
            </w:r>
          </w:p>
        </w:tc>
        <w:tc>
          <w:tcPr>
            <w:tcW w:w="1601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center"/>
            </w:pPr>
          </w:p>
        </w:tc>
        <w:tc>
          <w:tcPr>
            <w:tcW w:w="1400" w:type="dxa"/>
            <w:vAlign w:val="center"/>
          </w:tcPr>
          <w:p w:rsidR="00DF238E" w:rsidRPr="00A75C97" w:rsidRDefault="00DF238E" w:rsidP="005C4372">
            <w:pPr>
              <w:spacing w:before="0" w:after="0" w:line="240" w:lineRule="auto"/>
              <w:jc w:val="center"/>
            </w:pPr>
            <w:r>
              <w:t>1</w:t>
            </w:r>
          </w:p>
        </w:tc>
      </w:tr>
      <w:tr w:rsidR="00DF238E" w:rsidRPr="0088274A" w:rsidTr="005C4372">
        <w:trPr>
          <w:trHeight w:val="193"/>
          <w:jc w:val="center"/>
        </w:trPr>
        <w:tc>
          <w:tcPr>
            <w:tcW w:w="2786" w:type="dxa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Dos válvulas antiretorno en serie</w:t>
            </w:r>
          </w:p>
        </w:tc>
        <w:tc>
          <w:tcPr>
            <w:tcW w:w="3539" w:type="dxa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Dos válvulas antiretorno en serie. Previene el flujo inverso (líquidos o gases).</w:t>
            </w:r>
          </w:p>
        </w:tc>
        <w:tc>
          <w:tcPr>
            <w:tcW w:w="1601" w:type="dxa"/>
            <w:vAlign w:val="center"/>
          </w:tcPr>
          <w:p w:rsidR="00DF238E" w:rsidRPr="002B6AF9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ind w:left="70"/>
              <w:jc w:val="center"/>
              <w:rPr>
                <w:color w:val="000000"/>
              </w:rPr>
            </w:pPr>
            <w:r w:rsidRPr="002B6AF9">
              <w:t>10</w:t>
            </w:r>
            <w:r w:rsidRPr="002B6AF9">
              <w:rPr>
                <w:vertAlign w:val="superscript"/>
              </w:rPr>
              <w:t xml:space="preserve">-1 - </w:t>
            </w:r>
            <w:r w:rsidRPr="002B6AF9">
              <w:t>10</w:t>
            </w:r>
            <w:r w:rsidRPr="002B6AF9">
              <w:rPr>
                <w:vertAlign w:val="superscript"/>
              </w:rPr>
              <w:t>-2</w:t>
            </w:r>
          </w:p>
        </w:tc>
        <w:tc>
          <w:tcPr>
            <w:tcW w:w="1400" w:type="dxa"/>
            <w:vAlign w:val="center"/>
          </w:tcPr>
          <w:p w:rsidR="00DF238E" w:rsidRPr="00A75C97" w:rsidRDefault="00DF238E" w:rsidP="005C4372">
            <w:pPr>
              <w:spacing w:before="0" w:after="0" w:line="240" w:lineRule="auto"/>
              <w:jc w:val="center"/>
            </w:pPr>
            <w:r>
              <w:t>10</w:t>
            </w:r>
          </w:p>
        </w:tc>
      </w:tr>
    </w:tbl>
    <w:p w:rsidR="00DF238E" w:rsidRDefault="00DF238E" w:rsidP="004A1FF0">
      <w:pPr>
        <w:spacing w:after="60" w:line="240" w:lineRule="auto"/>
      </w:pPr>
    </w:p>
    <w:p w:rsidR="00DF238E" w:rsidRDefault="00DF238E">
      <w:pPr>
        <w:spacing w:before="0" w:after="0" w:line="240" w:lineRule="auto"/>
        <w:jc w:val="left"/>
      </w:pPr>
      <w:r>
        <w:br w:type="page"/>
      </w:r>
    </w:p>
    <w:p w:rsidR="00DF238E" w:rsidRDefault="00DF238E" w:rsidP="004A1FF0">
      <w:pPr>
        <w:spacing w:after="60" w:line="240" w:lineRule="auto"/>
      </w:pPr>
    </w:p>
    <w:tbl>
      <w:tblPr>
        <w:tblW w:w="9326" w:type="dxa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ook w:val="0000" w:firstRow="0" w:lastRow="0" w:firstColumn="0" w:lastColumn="0" w:noHBand="0" w:noVBand="0"/>
      </w:tblPr>
      <w:tblGrid>
        <w:gridCol w:w="2786"/>
        <w:gridCol w:w="3539"/>
        <w:gridCol w:w="1601"/>
        <w:gridCol w:w="1400"/>
      </w:tblGrid>
      <w:tr w:rsidR="00DF238E" w:rsidRPr="00503379" w:rsidTr="005C4372">
        <w:trPr>
          <w:trHeight w:val="425"/>
          <w:jc w:val="center"/>
        </w:trPr>
        <w:tc>
          <w:tcPr>
            <w:tcW w:w="9326" w:type="dxa"/>
            <w:gridSpan w:val="4"/>
            <w:shd w:val="clear" w:color="auto" w:fill="000080"/>
            <w:vAlign w:val="center"/>
          </w:tcPr>
          <w:p w:rsidR="00DF238E" w:rsidRPr="00503379" w:rsidRDefault="00DF238E" w:rsidP="00BA6A0C">
            <w:pPr>
              <w:spacing w:before="0"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</w:rPr>
              <w:t>Tabla A</w:t>
            </w:r>
            <w:r w:rsidRPr="00503379">
              <w:rPr>
                <w:b/>
                <w:sz w:val="20"/>
                <w:szCs w:val="20"/>
              </w:rPr>
              <w:t>7: Probabilidad de fallo en demanda (PFD) de IPL activas</w:t>
            </w:r>
          </w:p>
        </w:tc>
      </w:tr>
      <w:tr w:rsidR="00DF238E" w:rsidRPr="0088274A" w:rsidTr="005C4372">
        <w:trPr>
          <w:trHeight w:val="196"/>
          <w:jc w:val="center"/>
        </w:trPr>
        <w:tc>
          <w:tcPr>
            <w:tcW w:w="2786" w:type="dxa"/>
            <w:shd w:val="clear" w:color="auto" w:fill="E6E6E6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 w:rsidRPr="002B6AF9">
              <w:rPr>
                <w:b/>
                <w:bCs/>
                <w:color w:val="000080"/>
                <w:lang w:val="es-ES_tradnl"/>
              </w:rPr>
              <w:t>Capa de protección independiente</w:t>
            </w:r>
          </w:p>
        </w:tc>
        <w:tc>
          <w:tcPr>
            <w:tcW w:w="3539" w:type="dxa"/>
            <w:shd w:val="clear" w:color="auto" w:fill="E6E6E6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 w:rsidRPr="002B6AF9">
              <w:rPr>
                <w:b/>
                <w:bCs/>
                <w:color w:val="000080"/>
                <w:lang w:val="es-ES_tradnl"/>
              </w:rPr>
              <w:t>Comentarios</w:t>
            </w:r>
          </w:p>
        </w:tc>
        <w:tc>
          <w:tcPr>
            <w:tcW w:w="1601" w:type="dxa"/>
            <w:shd w:val="clear" w:color="auto" w:fill="E6E6E6"/>
          </w:tcPr>
          <w:p w:rsidR="00DF238E" w:rsidRPr="002B6AF9" w:rsidRDefault="00DF238E" w:rsidP="005C4372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 w:rsidRPr="002B6AF9">
              <w:rPr>
                <w:b/>
                <w:bCs/>
                <w:color w:val="000080"/>
                <w:lang w:val="es-ES_tradnl"/>
              </w:rPr>
              <w:t xml:space="preserve">Probabilidad de fallo </w:t>
            </w:r>
            <w:r>
              <w:rPr>
                <w:b/>
                <w:bCs/>
                <w:color w:val="000080"/>
                <w:lang w:val="es-ES_tradnl"/>
              </w:rPr>
              <w:t xml:space="preserve">PFD </w:t>
            </w:r>
            <w:r w:rsidRPr="002B6AF9">
              <w:rPr>
                <w:b/>
                <w:bCs/>
                <w:color w:val="000080"/>
                <w:lang w:val="es-ES_tradnl"/>
              </w:rPr>
              <w:t>típica</w:t>
            </w:r>
          </w:p>
        </w:tc>
        <w:tc>
          <w:tcPr>
            <w:tcW w:w="1400" w:type="dxa"/>
            <w:shd w:val="clear" w:color="auto" w:fill="E6E6E6"/>
            <w:vAlign w:val="center"/>
          </w:tcPr>
          <w:p w:rsidR="00DF238E" w:rsidRPr="0088274A" w:rsidRDefault="00DF238E" w:rsidP="005C4372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>
              <w:rPr>
                <w:b/>
                <w:bCs/>
                <w:color w:val="000080"/>
                <w:lang w:val="es-ES_tradnl"/>
              </w:rPr>
              <w:t>RRF</w:t>
            </w:r>
          </w:p>
        </w:tc>
      </w:tr>
      <w:tr w:rsidR="00DF238E" w:rsidRPr="0088274A" w:rsidTr="005C4372">
        <w:trPr>
          <w:trHeight w:val="193"/>
          <w:jc w:val="center"/>
        </w:trPr>
        <w:tc>
          <w:tcPr>
            <w:tcW w:w="2786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Disco de ruptura</w:t>
            </w:r>
          </w:p>
        </w:tc>
        <w:tc>
          <w:tcPr>
            <w:tcW w:w="3539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En serie antes de una PSV. Servicio limpio.</w:t>
            </w:r>
          </w:p>
        </w:tc>
        <w:tc>
          <w:tcPr>
            <w:tcW w:w="1601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center"/>
            </w:pPr>
          </w:p>
        </w:tc>
        <w:tc>
          <w:tcPr>
            <w:tcW w:w="1400" w:type="dxa"/>
            <w:vAlign w:val="center"/>
          </w:tcPr>
          <w:p w:rsidR="00DF238E" w:rsidRPr="00A75C97" w:rsidRDefault="00DF238E" w:rsidP="005C4372">
            <w:pPr>
              <w:spacing w:before="0" w:after="0" w:line="240" w:lineRule="auto"/>
              <w:jc w:val="center"/>
            </w:pPr>
            <w:r>
              <w:t>100</w:t>
            </w:r>
          </w:p>
        </w:tc>
      </w:tr>
      <w:tr w:rsidR="00DF238E" w:rsidRPr="0088274A" w:rsidTr="005C4372">
        <w:trPr>
          <w:trHeight w:val="193"/>
          <w:jc w:val="center"/>
        </w:trPr>
        <w:tc>
          <w:tcPr>
            <w:tcW w:w="2786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Disco de ruptura</w:t>
            </w:r>
          </w:p>
        </w:tc>
        <w:tc>
          <w:tcPr>
            <w:tcW w:w="3539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En serie antes de una PSV. Servicio sucio.</w:t>
            </w:r>
          </w:p>
        </w:tc>
        <w:tc>
          <w:tcPr>
            <w:tcW w:w="1601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center"/>
            </w:pPr>
          </w:p>
        </w:tc>
        <w:tc>
          <w:tcPr>
            <w:tcW w:w="1400" w:type="dxa"/>
            <w:vAlign w:val="center"/>
          </w:tcPr>
          <w:p w:rsidR="00DF238E" w:rsidRPr="00A75C97" w:rsidRDefault="00DF238E" w:rsidP="005C4372">
            <w:pPr>
              <w:spacing w:before="0" w:after="0" w:line="240" w:lineRule="auto"/>
              <w:jc w:val="center"/>
            </w:pPr>
            <w:r>
              <w:t>10</w:t>
            </w:r>
          </w:p>
        </w:tc>
      </w:tr>
      <w:tr w:rsidR="00DF238E" w:rsidRPr="0088274A" w:rsidTr="005C4372">
        <w:trPr>
          <w:trHeight w:val="193"/>
          <w:jc w:val="center"/>
        </w:trPr>
        <w:tc>
          <w:tcPr>
            <w:tcW w:w="2786" w:type="dxa"/>
            <w:vMerge w:val="restart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Válvula de alivio de presión (PSV o PRV)</w:t>
            </w:r>
          </w:p>
        </w:tc>
        <w:tc>
          <w:tcPr>
            <w:tcW w:w="3539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Si se diseña, instala y mantiene adecuadamente previene una sobrepresión. La PFD se refiere a no abrirse en demanda (100 % de la sección). Servicio limpio.</w:t>
            </w:r>
          </w:p>
        </w:tc>
        <w:tc>
          <w:tcPr>
            <w:tcW w:w="1601" w:type="dxa"/>
            <w:vAlign w:val="center"/>
          </w:tcPr>
          <w:p w:rsidR="00DF238E" w:rsidRPr="002B6AF9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ind w:left="70"/>
              <w:jc w:val="center"/>
              <w:rPr>
                <w:color w:val="000000"/>
              </w:rPr>
            </w:pPr>
            <w:r w:rsidRPr="002B6AF9">
              <w:t>10</w:t>
            </w:r>
            <w:r w:rsidRPr="002B6AF9">
              <w:rPr>
                <w:vertAlign w:val="superscript"/>
              </w:rPr>
              <w:t>-2</w:t>
            </w:r>
          </w:p>
        </w:tc>
        <w:tc>
          <w:tcPr>
            <w:tcW w:w="1400" w:type="dxa"/>
            <w:vAlign w:val="center"/>
          </w:tcPr>
          <w:p w:rsidR="00DF238E" w:rsidRPr="00A75C97" w:rsidRDefault="00DF238E" w:rsidP="005C4372">
            <w:pPr>
              <w:spacing w:before="0" w:after="0" w:line="240" w:lineRule="auto"/>
              <w:jc w:val="center"/>
            </w:pPr>
            <w:r>
              <w:t>100</w:t>
            </w:r>
          </w:p>
        </w:tc>
      </w:tr>
      <w:tr w:rsidR="00DF238E" w:rsidRPr="0088274A" w:rsidTr="005C4372">
        <w:trPr>
          <w:trHeight w:val="193"/>
          <w:jc w:val="center"/>
        </w:trPr>
        <w:tc>
          <w:tcPr>
            <w:tcW w:w="2786" w:type="dxa"/>
            <w:vMerge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539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ind w:left="21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Si se diseña, instala y mantiene adecuadamente previene una sobrepresión. La PFD se refiere a no abrirse en demanda (100 % de la sección). Servicio sucio.</w:t>
            </w:r>
          </w:p>
        </w:tc>
        <w:tc>
          <w:tcPr>
            <w:tcW w:w="1601" w:type="dxa"/>
            <w:vAlign w:val="center"/>
          </w:tcPr>
          <w:p w:rsidR="00DF238E" w:rsidRPr="002B6AF9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ind w:left="70"/>
              <w:jc w:val="center"/>
              <w:rPr>
                <w:color w:val="000000"/>
              </w:rPr>
            </w:pPr>
            <w:r w:rsidRPr="002B6AF9">
              <w:t>10</w:t>
            </w:r>
            <w:r w:rsidRPr="002B6AF9">
              <w:rPr>
                <w:vertAlign w:val="superscript"/>
              </w:rPr>
              <w:t>-1</w:t>
            </w:r>
          </w:p>
        </w:tc>
        <w:tc>
          <w:tcPr>
            <w:tcW w:w="1400" w:type="dxa"/>
            <w:vAlign w:val="center"/>
          </w:tcPr>
          <w:p w:rsidR="00DF238E" w:rsidRPr="00A75C97" w:rsidRDefault="00DF238E" w:rsidP="005C4372">
            <w:pPr>
              <w:spacing w:before="0" w:after="0" w:line="240" w:lineRule="auto"/>
              <w:jc w:val="center"/>
            </w:pPr>
            <w:r>
              <w:t>10</w:t>
            </w:r>
          </w:p>
        </w:tc>
      </w:tr>
      <w:tr w:rsidR="00DF238E" w:rsidRPr="0088274A" w:rsidTr="005C4372">
        <w:trPr>
          <w:trHeight w:val="193"/>
          <w:jc w:val="center"/>
        </w:trPr>
        <w:tc>
          <w:tcPr>
            <w:tcW w:w="2786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Múltiples PSV</w:t>
            </w:r>
          </w:p>
        </w:tc>
        <w:tc>
          <w:tcPr>
            <w:tcW w:w="3539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Si se diseña, instala y mantiene adecuadamente previene una sobrepresión.</w:t>
            </w:r>
          </w:p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(2 x 50 %)  (4 x 25 %)</w:t>
            </w:r>
          </w:p>
        </w:tc>
        <w:tc>
          <w:tcPr>
            <w:tcW w:w="1601" w:type="dxa"/>
            <w:vAlign w:val="center"/>
          </w:tcPr>
          <w:p w:rsidR="00DF238E" w:rsidRPr="002B6AF9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ind w:left="68"/>
              <w:jc w:val="center"/>
              <w:rPr>
                <w:vertAlign w:val="superscript"/>
              </w:rPr>
            </w:pPr>
            <w:r w:rsidRPr="002B6AF9">
              <w:rPr>
                <w:color w:val="000000"/>
              </w:rPr>
              <w:t xml:space="preserve">2 </w:t>
            </w:r>
            <w:r w:rsidRPr="002B6AF9">
              <w:sym w:font="Symbol" w:char="F0B4"/>
            </w:r>
            <w:r w:rsidRPr="002B6AF9">
              <w:rPr>
                <w:color w:val="000000"/>
              </w:rPr>
              <w:t xml:space="preserve"> </w:t>
            </w:r>
            <w:r w:rsidRPr="002B6AF9">
              <w:t>10</w:t>
            </w:r>
            <w:r w:rsidRPr="002B6AF9">
              <w:rPr>
                <w:vertAlign w:val="superscript"/>
              </w:rPr>
              <w:t xml:space="preserve">-2  </w:t>
            </w:r>
          </w:p>
          <w:p w:rsidR="00DF238E" w:rsidRPr="002B6AF9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ind w:left="68"/>
              <w:jc w:val="center"/>
              <w:rPr>
                <w:color w:val="000000"/>
              </w:rPr>
            </w:pPr>
            <w:r w:rsidRPr="002B6AF9">
              <w:rPr>
                <w:color w:val="000000"/>
              </w:rPr>
              <w:t xml:space="preserve">4 </w:t>
            </w:r>
            <w:r w:rsidRPr="002B6AF9">
              <w:sym w:font="Symbol" w:char="F0B4"/>
            </w:r>
            <w:r w:rsidRPr="002B6AF9">
              <w:rPr>
                <w:color w:val="000000"/>
              </w:rPr>
              <w:t xml:space="preserve"> </w:t>
            </w:r>
            <w:r w:rsidRPr="002B6AF9">
              <w:t>10</w:t>
            </w:r>
            <w:r w:rsidRPr="002B6AF9">
              <w:rPr>
                <w:vertAlign w:val="superscript"/>
              </w:rPr>
              <w:t>-2</w:t>
            </w:r>
          </w:p>
        </w:tc>
        <w:tc>
          <w:tcPr>
            <w:tcW w:w="1400" w:type="dxa"/>
            <w:vAlign w:val="center"/>
          </w:tcPr>
          <w:p w:rsidR="00DF238E" w:rsidRPr="00A75C97" w:rsidRDefault="00DF238E" w:rsidP="005C4372">
            <w:pPr>
              <w:spacing w:before="0" w:after="0" w:line="240" w:lineRule="auto"/>
              <w:jc w:val="center"/>
            </w:pPr>
            <w:r>
              <w:t>10</w:t>
            </w:r>
          </w:p>
        </w:tc>
      </w:tr>
      <w:tr w:rsidR="00DF238E" w:rsidRPr="0088274A" w:rsidTr="005C4372">
        <w:trPr>
          <w:trHeight w:val="193"/>
          <w:jc w:val="center"/>
        </w:trPr>
        <w:tc>
          <w:tcPr>
            <w:tcW w:w="2786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Lazo de control/BPCS</w:t>
            </w:r>
            <w:r w:rsidRPr="002B6AF9">
              <w:rPr>
                <w:rStyle w:val="Refdenotaalpie"/>
                <w:rFonts w:cs="Arial"/>
                <w:b/>
                <w:sz w:val="18"/>
                <w:szCs w:val="18"/>
              </w:rPr>
              <w:footnoteReference w:id="2"/>
            </w:r>
          </w:p>
        </w:tc>
        <w:tc>
          <w:tcPr>
            <w:tcW w:w="3539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Un lazo de control puede ser IPL si es independiente del evento iniciador</w:t>
            </w:r>
          </w:p>
        </w:tc>
        <w:tc>
          <w:tcPr>
            <w:tcW w:w="1601" w:type="dxa"/>
            <w:vAlign w:val="center"/>
          </w:tcPr>
          <w:p w:rsidR="00DF238E" w:rsidRPr="002B6AF9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ind w:left="70"/>
              <w:jc w:val="center"/>
              <w:rPr>
                <w:color w:val="000000"/>
              </w:rPr>
            </w:pPr>
            <w:r w:rsidRPr="002B6AF9">
              <w:t>10</w:t>
            </w:r>
            <w:r w:rsidRPr="002B6AF9">
              <w:rPr>
                <w:vertAlign w:val="superscript"/>
              </w:rPr>
              <w:t>-1</w:t>
            </w:r>
          </w:p>
        </w:tc>
        <w:tc>
          <w:tcPr>
            <w:tcW w:w="1400" w:type="dxa"/>
            <w:vAlign w:val="center"/>
          </w:tcPr>
          <w:p w:rsidR="00DF238E" w:rsidRPr="00A75C97" w:rsidRDefault="00DF238E" w:rsidP="005C4372">
            <w:pPr>
              <w:spacing w:before="0" w:after="0" w:line="240" w:lineRule="auto"/>
              <w:jc w:val="center"/>
            </w:pPr>
            <w:r>
              <w:t>10</w:t>
            </w:r>
          </w:p>
        </w:tc>
      </w:tr>
      <w:tr w:rsidR="00DF238E" w:rsidRPr="0088274A" w:rsidTr="005C4372">
        <w:trPr>
          <w:trHeight w:val="193"/>
          <w:jc w:val="center"/>
        </w:trPr>
        <w:tc>
          <w:tcPr>
            <w:tcW w:w="2786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Sistema de control específico de ciertas unidades “paquete”</w:t>
            </w:r>
          </w:p>
        </w:tc>
        <w:tc>
          <w:tcPr>
            <w:tcW w:w="3539" w:type="dxa"/>
            <w:vAlign w:val="center"/>
          </w:tcPr>
          <w:p w:rsidR="00DF238E" w:rsidRPr="002B6AF9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Compresores, hornos, calderas, etc.</w:t>
            </w:r>
          </w:p>
        </w:tc>
        <w:tc>
          <w:tcPr>
            <w:tcW w:w="1601" w:type="dxa"/>
            <w:vAlign w:val="center"/>
          </w:tcPr>
          <w:p w:rsidR="00DF238E" w:rsidRPr="002B6AF9" w:rsidRDefault="00DF238E" w:rsidP="005C4372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2B6AF9">
              <w:t>10</w:t>
            </w:r>
            <w:r w:rsidRPr="002B6AF9">
              <w:rPr>
                <w:vertAlign w:val="superscript"/>
              </w:rPr>
              <w:t xml:space="preserve">-1 - </w:t>
            </w:r>
            <w:r w:rsidRPr="002B6AF9">
              <w:t>10</w:t>
            </w:r>
            <w:r w:rsidRPr="002B6AF9">
              <w:rPr>
                <w:vertAlign w:val="superscript"/>
              </w:rPr>
              <w:t>-2</w:t>
            </w:r>
          </w:p>
        </w:tc>
        <w:tc>
          <w:tcPr>
            <w:tcW w:w="1400" w:type="dxa"/>
            <w:vAlign w:val="center"/>
          </w:tcPr>
          <w:p w:rsidR="00DF238E" w:rsidRPr="00A75C97" w:rsidRDefault="00DF238E" w:rsidP="005C4372">
            <w:pPr>
              <w:spacing w:before="0" w:after="0" w:line="240" w:lineRule="auto"/>
              <w:jc w:val="center"/>
            </w:pPr>
            <w:r>
              <w:t>10</w:t>
            </w:r>
          </w:p>
        </w:tc>
      </w:tr>
    </w:tbl>
    <w:p w:rsidR="00DF238E" w:rsidRDefault="00DF238E" w:rsidP="004A1FF0">
      <w:pPr>
        <w:spacing w:after="60" w:line="240" w:lineRule="auto"/>
      </w:pPr>
    </w:p>
    <w:p w:rsidR="00DF238E" w:rsidRDefault="00DF238E">
      <w:pPr>
        <w:spacing w:before="0" w:after="0" w:line="240" w:lineRule="auto"/>
        <w:jc w:val="left"/>
      </w:pPr>
      <w:r>
        <w:br w:type="page"/>
      </w:r>
    </w:p>
    <w:p w:rsidR="00DF238E" w:rsidRDefault="00DF238E" w:rsidP="004A1FF0">
      <w:pPr>
        <w:spacing w:after="60" w:line="240" w:lineRule="auto"/>
      </w:pPr>
    </w:p>
    <w:tbl>
      <w:tblPr>
        <w:tblW w:w="9355" w:type="dxa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ook w:val="0000" w:firstRow="0" w:lastRow="0" w:firstColumn="0" w:lastColumn="0" w:noHBand="0" w:noVBand="0"/>
      </w:tblPr>
      <w:tblGrid>
        <w:gridCol w:w="2835"/>
        <w:gridCol w:w="4819"/>
        <w:gridCol w:w="1701"/>
      </w:tblGrid>
      <w:tr w:rsidR="00DF238E" w:rsidRPr="00503379" w:rsidTr="00446016">
        <w:trPr>
          <w:trHeight w:val="425"/>
          <w:jc w:val="center"/>
        </w:trPr>
        <w:tc>
          <w:tcPr>
            <w:tcW w:w="9355" w:type="dxa"/>
            <w:gridSpan w:val="3"/>
            <w:shd w:val="clear" w:color="auto" w:fill="000080"/>
            <w:vAlign w:val="center"/>
          </w:tcPr>
          <w:p w:rsidR="00DF238E" w:rsidRPr="00503379" w:rsidRDefault="00DF238E" w:rsidP="005C4372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Tabla A</w:t>
            </w:r>
            <w:r w:rsidRPr="00503379">
              <w:rPr>
                <w:b/>
                <w:sz w:val="20"/>
                <w:szCs w:val="20"/>
              </w:rPr>
              <w:t>8: Capa de protección “supervisión e intervención humana”</w:t>
            </w:r>
          </w:p>
          <w:p w:rsidR="00DF238E" w:rsidRPr="00503379" w:rsidRDefault="00DF238E" w:rsidP="005C4372">
            <w:pPr>
              <w:spacing w:before="0"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  <w:lang w:val="es-ES_tradnl"/>
              </w:rPr>
            </w:pPr>
            <w:r w:rsidRPr="00503379">
              <w:rPr>
                <w:b/>
                <w:sz w:val="20"/>
                <w:szCs w:val="20"/>
              </w:rPr>
              <w:t>(ANSI/ISA TR84.00.04-2004)</w:t>
            </w:r>
          </w:p>
        </w:tc>
      </w:tr>
      <w:tr w:rsidR="00DF238E" w:rsidRPr="0088274A" w:rsidTr="00446016">
        <w:trPr>
          <w:trHeight w:val="196"/>
          <w:jc w:val="center"/>
        </w:trPr>
        <w:tc>
          <w:tcPr>
            <w:tcW w:w="2835" w:type="dxa"/>
            <w:shd w:val="clear" w:color="auto" w:fill="E6E6E6"/>
            <w:vAlign w:val="center"/>
          </w:tcPr>
          <w:p w:rsidR="00DF238E" w:rsidRPr="00446016" w:rsidRDefault="00DF238E" w:rsidP="005C4372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sz w:val="20"/>
                <w:szCs w:val="20"/>
                <w:lang w:val="es-ES_tradnl"/>
              </w:rPr>
            </w:pPr>
            <w:r w:rsidRPr="00446016">
              <w:rPr>
                <w:b/>
                <w:bCs/>
                <w:color w:val="000080"/>
                <w:sz w:val="20"/>
                <w:szCs w:val="20"/>
                <w:lang w:val="es-ES_tradnl"/>
              </w:rPr>
              <w:t>Capa de protección independiente</w:t>
            </w:r>
          </w:p>
        </w:tc>
        <w:tc>
          <w:tcPr>
            <w:tcW w:w="4819" w:type="dxa"/>
            <w:shd w:val="clear" w:color="auto" w:fill="E6E6E6"/>
            <w:vAlign w:val="center"/>
          </w:tcPr>
          <w:p w:rsidR="00DF238E" w:rsidRPr="00446016" w:rsidRDefault="00DF238E" w:rsidP="005C4372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sz w:val="20"/>
                <w:szCs w:val="20"/>
                <w:lang w:val="es-ES_tradnl"/>
              </w:rPr>
            </w:pPr>
            <w:r w:rsidRPr="00446016">
              <w:rPr>
                <w:b/>
                <w:bCs/>
                <w:color w:val="000080"/>
                <w:sz w:val="20"/>
                <w:szCs w:val="20"/>
                <w:lang w:val="es-ES_tradnl"/>
              </w:rPr>
              <w:t>Comentarios</w:t>
            </w:r>
          </w:p>
        </w:tc>
        <w:tc>
          <w:tcPr>
            <w:tcW w:w="1701" w:type="dxa"/>
            <w:shd w:val="clear" w:color="auto" w:fill="E6E6E6"/>
          </w:tcPr>
          <w:p w:rsidR="00DF238E" w:rsidRDefault="00DF238E" w:rsidP="005C4372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sz w:val="20"/>
                <w:szCs w:val="20"/>
                <w:lang w:val="es-ES_tradnl"/>
              </w:rPr>
            </w:pPr>
            <w:r w:rsidRPr="00446016">
              <w:rPr>
                <w:b/>
                <w:bCs/>
                <w:color w:val="000080"/>
                <w:sz w:val="20"/>
                <w:szCs w:val="20"/>
                <w:lang w:val="es-ES_tradnl"/>
              </w:rPr>
              <w:t xml:space="preserve">Probabilidad de fallo PFD </w:t>
            </w:r>
          </w:p>
          <w:p w:rsidR="00DF238E" w:rsidRPr="00446016" w:rsidRDefault="00DF238E" w:rsidP="005C4372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sz w:val="20"/>
                <w:szCs w:val="20"/>
                <w:lang w:val="es-ES_tradnl"/>
              </w:rPr>
            </w:pPr>
            <w:r w:rsidRPr="00446016">
              <w:rPr>
                <w:b/>
                <w:bCs/>
                <w:color w:val="000080"/>
                <w:sz w:val="20"/>
                <w:szCs w:val="20"/>
                <w:lang w:val="es-ES_tradnl"/>
              </w:rPr>
              <w:t>s/ ISA 84.00.01</w:t>
            </w:r>
          </w:p>
        </w:tc>
      </w:tr>
      <w:tr w:rsidR="00DF238E" w:rsidRPr="0088274A" w:rsidTr="00446016">
        <w:trPr>
          <w:trHeight w:val="193"/>
          <w:jc w:val="center"/>
        </w:trPr>
        <w:tc>
          <w:tcPr>
            <w:tcW w:w="2835" w:type="dxa"/>
          </w:tcPr>
          <w:p w:rsidR="00DF238E" w:rsidRPr="0037283A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 xml:space="preserve">Respuesta del operador ante las indicaciones del BPCS o alarma de 10 minutos o más </w:t>
            </w:r>
          </w:p>
        </w:tc>
        <w:tc>
          <w:tcPr>
            <w:tcW w:w="4819" w:type="dxa"/>
          </w:tcPr>
          <w:p w:rsidR="00DF238E" w:rsidRPr="0037283A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 xml:space="preserve">La acción por parte del operador es simple, está bien documentada y con indicación clara y fiable de que tiene que realizar </w:t>
            </w:r>
            <w:smartTag w:uri="urn:schemas-microsoft-com:office:smarttags" w:element="PersonName">
              <w:smartTagPr>
                <w:attr w:name="ProductID" w:val="la acci￳n. El"/>
              </w:smartTagPr>
              <w:r w:rsidRPr="0037283A">
                <w:rPr>
                  <w:sz w:val="18"/>
                  <w:szCs w:val="18"/>
                </w:rPr>
                <w:t>la acción. El</w:t>
              </w:r>
            </w:smartTag>
            <w:r w:rsidRPr="0037283A">
              <w:rPr>
                <w:sz w:val="18"/>
                <w:szCs w:val="18"/>
              </w:rPr>
              <w:t xml:space="preserve"> operador no tiene que hacer diagnóstico para ejecutar la acción.</w:t>
            </w:r>
          </w:p>
        </w:tc>
        <w:tc>
          <w:tcPr>
            <w:tcW w:w="1701" w:type="dxa"/>
            <w:vAlign w:val="center"/>
          </w:tcPr>
          <w:p w:rsidR="00DF238E" w:rsidRPr="0037283A" w:rsidRDefault="00DF238E" w:rsidP="005C4372">
            <w:pPr>
              <w:spacing w:before="0" w:after="0" w:line="240" w:lineRule="auto"/>
              <w:ind w:left="9"/>
              <w:jc w:val="center"/>
              <w:rPr>
                <w:b/>
              </w:rPr>
            </w:pPr>
            <w:r w:rsidRPr="0037283A">
              <w:t xml:space="preserve">&gt; 1 </w:t>
            </w:r>
            <w:r w:rsidRPr="0037283A">
              <w:sym w:font="Symbol" w:char="F0B4"/>
            </w:r>
            <w:r w:rsidRPr="0037283A">
              <w:t xml:space="preserve"> 10</w:t>
            </w:r>
            <w:r w:rsidRPr="0037283A">
              <w:rPr>
                <w:vertAlign w:val="superscript"/>
              </w:rPr>
              <w:t>-1</w:t>
            </w:r>
          </w:p>
        </w:tc>
      </w:tr>
      <w:tr w:rsidR="00DF238E" w:rsidRPr="0088274A" w:rsidTr="00446016">
        <w:trPr>
          <w:trHeight w:val="193"/>
          <w:jc w:val="center"/>
        </w:trPr>
        <w:tc>
          <w:tcPr>
            <w:tcW w:w="2835" w:type="dxa"/>
          </w:tcPr>
          <w:p w:rsidR="00DF238E" w:rsidRPr="0037283A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>Respuesta del operador ante las indicaciones del BPCS o alarma de 40 minutos o más</w:t>
            </w:r>
          </w:p>
        </w:tc>
        <w:tc>
          <w:tcPr>
            <w:tcW w:w="4819" w:type="dxa"/>
          </w:tcPr>
          <w:p w:rsidR="00DF238E" w:rsidRPr="0037283A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 xml:space="preserve">La acción por parte del operador es simple, está bien documentada y con indicación clara y fiable de que tiene que realizar </w:t>
            </w:r>
            <w:smartTag w:uri="urn:schemas-microsoft-com:office:smarttags" w:element="PersonName">
              <w:smartTagPr>
                <w:attr w:name="ProductID" w:val="la acci￳n. El"/>
              </w:smartTagPr>
              <w:r w:rsidRPr="0037283A">
                <w:rPr>
                  <w:sz w:val="18"/>
                  <w:szCs w:val="18"/>
                </w:rPr>
                <w:t>la acción. Se</w:t>
              </w:r>
            </w:smartTag>
            <w:r w:rsidRPr="0037283A">
              <w:rPr>
                <w:sz w:val="18"/>
                <w:szCs w:val="18"/>
              </w:rPr>
              <w:t xml:space="preserve"> admite un mínimo diagnóstico antes de ejecutar la acción.</w:t>
            </w:r>
          </w:p>
        </w:tc>
        <w:tc>
          <w:tcPr>
            <w:tcW w:w="1701" w:type="dxa"/>
            <w:vAlign w:val="center"/>
          </w:tcPr>
          <w:p w:rsidR="00DF238E" w:rsidRPr="0037283A" w:rsidRDefault="00DF238E" w:rsidP="005C4372">
            <w:pPr>
              <w:spacing w:before="0" w:after="0" w:line="240" w:lineRule="auto"/>
              <w:ind w:left="9"/>
              <w:jc w:val="center"/>
              <w:rPr>
                <w:b/>
              </w:rPr>
            </w:pPr>
            <w:r w:rsidRPr="0037283A">
              <w:t xml:space="preserve">&gt; 1 </w:t>
            </w:r>
            <w:r w:rsidRPr="0037283A">
              <w:sym w:font="Symbol" w:char="F0B4"/>
            </w:r>
            <w:r w:rsidRPr="0037283A">
              <w:t xml:space="preserve"> 10</w:t>
            </w:r>
            <w:r w:rsidRPr="0037283A">
              <w:rPr>
                <w:vertAlign w:val="superscript"/>
              </w:rPr>
              <w:t>-1</w:t>
            </w:r>
          </w:p>
        </w:tc>
      </w:tr>
      <w:tr w:rsidR="00DF238E" w:rsidRPr="0088274A" w:rsidTr="00446016">
        <w:trPr>
          <w:trHeight w:val="193"/>
          <w:jc w:val="center"/>
        </w:trPr>
        <w:tc>
          <w:tcPr>
            <w:tcW w:w="2835" w:type="dxa"/>
          </w:tcPr>
          <w:p w:rsidR="00DF238E" w:rsidRPr="0037283A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 xml:space="preserve">Respuesta del operador ante las indicaciones del SIS o alarma de 10 minutos o más </w:t>
            </w:r>
          </w:p>
        </w:tc>
        <w:tc>
          <w:tcPr>
            <w:tcW w:w="4819" w:type="dxa"/>
          </w:tcPr>
          <w:p w:rsidR="00DF238E" w:rsidRPr="0037283A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 xml:space="preserve">La acción por parte del operador es simple, está bien documentada y con indicación clara y fiable de que tiene que realizar </w:t>
            </w:r>
            <w:smartTag w:uri="urn:schemas-microsoft-com:office:smarttags" w:element="PersonName">
              <w:smartTagPr>
                <w:attr w:name="ProductID" w:val="la acci￳n. El"/>
              </w:smartTagPr>
              <w:r w:rsidRPr="0037283A">
                <w:rPr>
                  <w:sz w:val="18"/>
                  <w:szCs w:val="18"/>
                </w:rPr>
                <w:t>la acción. El</w:t>
              </w:r>
            </w:smartTag>
            <w:r w:rsidRPr="0037283A">
              <w:rPr>
                <w:sz w:val="18"/>
                <w:szCs w:val="18"/>
              </w:rPr>
              <w:t xml:space="preserve"> operador no tiene que hacer diagnóstico para ejecutar la acción.</w:t>
            </w:r>
          </w:p>
        </w:tc>
        <w:tc>
          <w:tcPr>
            <w:tcW w:w="1701" w:type="dxa"/>
            <w:vAlign w:val="center"/>
          </w:tcPr>
          <w:p w:rsidR="00DF238E" w:rsidRPr="0037283A" w:rsidRDefault="00DF238E" w:rsidP="005C4372">
            <w:pPr>
              <w:spacing w:before="0" w:after="0" w:line="240" w:lineRule="auto"/>
              <w:ind w:left="9"/>
              <w:jc w:val="center"/>
              <w:rPr>
                <w:b/>
              </w:rPr>
            </w:pPr>
            <w:r w:rsidRPr="0037283A">
              <w:t xml:space="preserve">1 </w:t>
            </w:r>
            <w:r w:rsidRPr="0037283A">
              <w:sym w:font="Symbol" w:char="F0B4"/>
            </w:r>
            <w:r w:rsidRPr="0037283A">
              <w:t xml:space="preserve"> 10</w:t>
            </w:r>
            <w:r w:rsidRPr="0037283A">
              <w:rPr>
                <w:vertAlign w:val="superscript"/>
              </w:rPr>
              <w:t>-1</w:t>
            </w:r>
          </w:p>
        </w:tc>
      </w:tr>
      <w:tr w:rsidR="00DF238E" w:rsidRPr="0088274A" w:rsidTr="00446016">
        <w:trPr>
          <w:trHeight w:val="193"/>
          <w:jc w:val="center"/>
        </w:trPr>
        <w:tc>
          <w:tcPr>
            <w:tcW w:w="2835" w:type="dxa"/>
          </w:tcPr>
          <w:p w:rsidR="00DF238E" w:rsidRPr="0037283A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 xml:space="preserve">Respuesta del operador ante las indicaciones del SIS o alarma de 40 minutos o más </w:t>
            </w:r>
          </w:p>
        </w:tc>
        <w:tc>
          <w:tcPr>
            <w:tcW w:w="4819" w:type="dxa"/>
          </w:tcPr>
          <w:p w:rsidR="00DF238E" w:rsidRPr="0037283A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>La acción por parte del operador es simple, está bien documentada y con indicación clara y fiable de que tiene que realizar la acción. Se admite un mínimo diagnóstico antes de ejecutar la acción.</w:t>
            </w:r>
          </w:p>
        </w:tc>
        <w:tc>
          <w:tcPr>
            <w:tcW w:w="1701" w:type="dxa"/>
            <w:vAlign w:val="center"/>
          </w:tcPr>
          <w:p w:rsidR="00DF238E" w:rsidRPr="0037283A" w:rsidRDefault="00DF238E" w:rsidP="005C4372">
            <w:pPr>
              <w:spacing w:before="0" w:after="0" w:line="240" w:lineRule="auto"/>
              <w:ind w:left="9"/>
              <w:jc w:val="center"/>
              <w:rPr>
                <w:b/>
              </w:rPr>
            </w:pPr>
            <w:r>
              <w:t xml:space="preserve">  </w:t>
            </w:r>
            <w:r w:rsidRPr="0037283A">
              <w:t xml:space="preserve">1 </w:t>
            </w:r>
            <w:r w:rsidRPr="0037283A">
              <w:sym w:font="Symbol" w:char="F0B4"/>
            </w:r>
            <w:r w:rsidRPr="0037283A">
              <w:t xml:space="preserve"> 10</w:t>
            </w:r>
            <w:r w:rsidRPr="0037283A">
              <w:rPr>
                <w:vertAlign w:val="superscript"/>
              </w:rPr>
              <w:t>-1</w:t>
            </w:r>
            <w:r w:rsidRPr="0037283A">
              <w:t xml:space="preserve"> - </w:t>
            </w:r>
            <w:r>
              <w:t xml:space="preserve">      </w:t>
            </w:r>
            <w:r w:rsidRPr="0037283A">
              <w:t xml:space="preserve">1 </w:t>
            </w:r>
            <w:r w:rsidRPr="0037283A">
              <w:sym w:font="Symbol" w:char="F0B4"/>
            </w:r>
            <w:r w:rsidRPr="0037283A">
              <w:t xml:space="preserve"> 10</w:t>
            </w:r>
            <w:r w:rsidRPr="0037283A">
              <w:rPr>
                <w:vertAlign w:val="superscript"/>
              </w:rPr>
              <w:t>-2</w:t>
            </w:r>
          </w:p>
        </w:tc>
      </w:tr>
      <w:tr w:rsidR="00DF238E" w:rsidRPr="0088274A" w:rsidTr="00446016">
        <w:trPr>
          <w:trHeight w:val="193"/>
          <w:jc w:val="center"/>
        </w:trPr>
        <w:tc>
          <w:tcPr>
            <w:tcW w:w="9354" w:type="dxa"/>
            <w:gridSpan w:val="3"/>
            <w:vAlign w:val="center"/>
          </w:tcPr>
          <w:p w:rsidR="00DF238E" w:rsidRPr="0037283A" w:rsidRDefault="00DF238E" w:rsidP="005C4372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 xml:space="preserve">Se </w:t>
            </w:r>
            <w:r>
              <w:rPr>
                <w:sz w:val="18"/>
                <w:szCs w:val="18"/>
              </w:rPr>
              <w:t>asume</w:t>
            </w:r>
            <w:r w:rsidRPr="003728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una </w:t>
            </w:r>
            <w:r w:rsidRPr="0037283A">
              <w:rPr>
                <w:sz w:val="18"/>
                <w:szCs w:val="18"/>
              </w:rPr>
              <w:t>documentación ad</w:t>
            </w:r>
            <w:r>
              <w:rPr>
                <w:sz w:val="18"/>
                <w:szCs w:val="18"/>
              </w:rPr>
              <w:t xml:space="preserve">ecuada, formación y simulacros </w:t>
            </w:r>
            <w:r w:rsidRPr="0037283A">
              <w:rPr>
                <w:sz w:val="18"/>
                <w:szCs w:val="18"/>
              </w:rPr>
              <w:t>para operador</w:t>
            </w:r>
            <w:r>
              <w:rPr>
                <w:sz w:val="18"/>
                <w:szCs w:val="18"/>
              </w:rPr>
              <w:t>es</w:t>
            </w:r>
            <w:r w:rsidRPr="0037283A">
              <w:rPr>
                <w:sz w:val="18"/>
                <w:szCs w:val="18"/>
              </w:rPr>
              <w:t xml:space="preserve"> y procedimientos de prueba.</w:t>
            </w:r>
          </w:p>
        </w:tc>
      </w:tr>
    </w:tbl>
    <w:p w:rsidR="00DF238E" w:rsidRDefault="00DF238E" w:rsidP="004A1FF0">
      <w:pPr>
        <w:spacing w:after="60" w:line="240" w:lineRule="auto"/>
      </w:pPr>
    </w:p>
    <w:p w:rsidR="00DF238E" w:rsidRDefault="00DF238E" w:rsidP="004A1FF0">
      <w:pPr>
        <w:spacing w:after="60" w:line="240" w:lineRule="auto"/>
      </w:pPr>
    </w:p>
    <w:p w:rsidR="00DF238E" w:rsidRDefault="00DF238E" w:rsidP="004A1FF0">
      <w:pPr>
        <w:spacing w:after="60" w:line="240" w:lineRule="auto"/>
      </w:pPr>
    </w:p>
    <w:p w:rsidR="00DF238E" w:rsidRPr="003A38E8" w:rsidRDefault="00DF238E" w:rsidP="004A1FF0">
      <w:pPr>
        <w:spacing w:after="60" w:line="240" w:lineRule="auto"/>
      </w:pPr>
    </w:p>
    <w:p w:rsidR="00DF238E" w:rsidRDefault="00DF238E" w:rsidP="004A1FF0">
      <w:pPr>
        <w:spacing w:after="60" w:line="240" w:lineRule="auto"/>
      </w:pPr>
    </w:p>
    <w:p w:rsidR="00DF238E" w:rsidRDefault="00DF238E">
      <w:pPr>
        <w:spacing w:before="0" w:after="0" w:line="240" w:lineRule="auto"/>
        <w:jc w:val="left"/>
        <w:rPr>
          <w:szCs w:val="20"/>
        </w:rPr>
      </w:pPr>
    </w:p>
    <w:p w:rsidR="00DF238E" w:rsidRPr="00EC5FEC" w:rsidRDefault="00DF238E" w:rsidP="00A01886">
      <w:pPr>
        <w:spacing w:before="0" w:after="0" w:line="240" w:lineRule="auto"/>
        <w:rPr>
          <w:szCs w:val="20"/>
          <w:lang w:val="es-ES_tradnl"/>
        </w:rPr>
      </w:pPr>
    </w:p>
    <w:p w:rsidR="00DF238E" w:rsidRPr="008C5FEC" w:rsidRDefault="00DF238E" w:rsidP="00A01886">
      <w:pPr>
        <w:spacing w:before="0" w:after="0" w:line="240" w:lineRule="auto"/>
        <w:rPr>
          <w:szCs w:val="20"/>
        </w:rPr>
      </w:pPr>
    </w:p>
    <w:sectPr w:rsidR="00DF238E" w:rsidRPr="008C5FEC" w:rsidSect="000B6F18">
      <w:headerReference w:type="default" r:id="rId7"/>
      <w:footerReference w:type="default" r:id="rId8"/>
      <w:pgSz w:w="12242" w:h="15842" w:code="119"/>
      <w:pgMar w:top="1418" w:right="1418" w:bottom="1418" w:left="1418" w:header="709" w:footer="567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AFA" w:rsidRDefault="00285AFA">
      <w:r>
        <w:separator/>
      </w:r>
    </w:p>
  </w:endnote>
  <w:endnote w:type="continuationSeparator" w:id="0">
    <w:p w:rsidR="00285AFA" w:rsidRDefault="0028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egrita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38E" w:rsidRPr="00C524FE" w:rsidRDefault="00DF238E" w:rsidP="00C524FE">
    <w:pPr>
      <w:pStyle w:val="Piedepgina"/>
      <w:jc w:val="right"/>
      <w:rPr>
        <w:sz w:val="18"/>
        <w:szCs w:val="18"/>
      </w:rPr>
    </w:pPr>
    <w:r w:rsidRPr="00C524FE">
      <w:rPr>
        <w:sz w:val="18"/>
        <w:szCs w:val="18"/>
      </w:rPr>
      <w:t xml:space="preserve">Página </w:t>
    </w:r>
    <w:r w:rsidRPr="00C524FE">
      <w:rPr>
        <w:rStyle w:val="Nmerodepgina"/>
        <w:rFonts w:cs="Arial"/>
        <w:sz w:val="18"/>
        <w:szCs w:val="18"/>
      </w:rPr>
      <w:fldChar w:fldCharType="begin"/>
    </w:r>
    <w:r w:rsidRPr="00C524FE">
      <w:rPr>
        <w:rStyle w:val="Nmerodepgina"/>
        <w:rFonts w:cs="Arial"/>
        <w:sz w:val="18"/>
        <w:szCs w:val="18"/>
      </w:rPr>
      <w:instrText xml:space="preserve"> PAGE </w:instrText>
    </w:r>
    <w:r w:rsidRPr="00C524FE">
      <w:rPr>
        <w:rStyle w:val="Nmerodepgina"/>
        <w:rFonts w:cs="Arial"/>
        <w:sz w:val="18"/>
        <w:szCs w:val="18"/>
      </w:rPr>
      <w:fldChar w:fldCharType="separate"/>
    </w:r>
    <w:r w:rsidR="00D32028">
      <w:rPr>
        <w:rStyle w:val="Nmerodepgina"/>
        <w:rFonts w:cs="Arial"/>
        <w:noProof/>
        <w:sz w:val="18"/>
        <w:szCs w:val="18"/>
      </w:rPr>
      <w:t>1</w:t>
    </w:r>
    <w:r w:rsidRPr="00C524FE">
      <w:rPr>
        <w:rStyle w:val="Nmerodepgina"/>
        <w:rFonts w:cs="Arial"/>
        <w:sz w:val="18"/>
        <w:szCs w:val="18"/>
      </w:rPr>
      <w:fldChar w:fldCharType="end"/>
    </w:r>
    <w:r w:rsidRPr="00C524FE">
      <w:rPr>
        <w:sz w:val="18"/>
        <w:szCs w:val="18"/>
      </w:rPr>
      <w:t xml:space="preserve"> de </w:t>
    </w:r>
    <w:r w:rsidRPr="00C524FE">
      <w:rPr>
        <w:sz w:val="18"/>
        <w:szCs w:val="18"/>
      </w:rPr>
      <w:fldChar w:fldCharType="begin"/>
    </w:r>
    <w:r w:rsidRPr="00C524FE">
      <w:rPr>
        <w:sz w:val="18"/>
        <w:szCs w:val="18"/>
      </w:rPr>
      <w:instrText xml:space="preserve"> NUMPAGES </w:instrText>
    </w:r>
    <w:r w:rsidRPr="00C524FE">
      <w:rPr>
        <w:sz w:val="18"/>
        <w:szCs w:val="18"/>
      </w:rPr>
      <w:fldChar w:fldCharType="separate"/>
    </w:r>
    <w:r w:rsidR="00D32028">
      <w:rPr>
        <w:noProof/>
        <w:sz w:val="18"/>
        <w:szCs w:val="18"/>
      </w:rPr>
      <w:t>5</w:t>
    </w:r>
    <w:r w:rsidRPr="00C524F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AFA" w:rsidRDefault="00285AFA">
      <w:r>
        <w:separator/>
      </w:r>
    </w:p>
  </w:footnote>
  <w:footnote w:type="continuationSeparator" w:id="0">
    <w:p w:rsidR="00285AFA" w:rsidRDefault="00285AFA">
      <w:r>
        <w:continuationSeparator/>
      </w:r>
    </w:p>
  </w:footnote>
  <w:footnote w:id="1">
    <w:p w:rsidR="00DF238E" w:rsidRDefault="00DF238E" w:rsidP="00EF5BA6">
      <w:pPr>
        <w:spacing w:before="0" w:after="0" w:line="240" w:lineRule="auto"/>
      </w:pPr>
      <w:r w:rsidRPr="004E15F6">
        <w:rPr>
          <w:rStyle w:val="Refdenotaalpie"/>
          <w:rFonts w:cs="Arial"/>
          <w:b/>
          <w:sz w:val="16"/>
          <w:szCs w:val="16"/>
        </w:rPr>
        <w:footnoteRef/>
      </w:r>
      <w:r>
        <w:t xml:space="preserve"> </w:t>
      </w:r>
      <w:r w:rsidRPr="00995630">
        <w:rPr>
          <w:color w:val="000080"/>
          <w:sz w:val="16"/>
          <w:szCs w:val="16"/>
        </w:rPr>
        <w:t xml:space="preserve">La tasa de fallo del BPCS está regulada por IEC 61511 §8.2.2:“La tasa de fallos peligrosos de un BPCS (que no satisface </w:t>
      </w:r>
      <w:smartTag w:uri="urn:schemas-microsoft-com:office:smarttags" w:element="PersonName">
        <w:smartTagPr>
          <w:attr w:name="ProductID" w:val="la norma IEC"/>
        </w:smartTagPr>
        <w:r w:rsidRPr="00995630">
          <w:rPr>
            <w:color w:val="000080"/>
            <w:sz w:val="16"/>
            <w:szCs w:val="16"/>
          </w:rPr>
          <w:t>la norma IEC</w:t>
        </w:r>
      </w:smartTag>
      <w:r w:rsidRPr="00995630">
        <w:rPr>
          <w:color w:val="000080"/>
          <w:sz w:val="16"/>
          <w:szCs w:val="16"/>
        </w:rPr>
        <w:t xml:space="preserve"> 61511) que realiza una demanda en una capa de protección, no debe ser evaluada en un valor menor que 10</w:t>
      </w:r>
      <w:r w:rsidRPr="00995630">
        <w:rPr>
          <w:color w:val="000080"/>
          <w:sz w:val="16"/>
          <w:szCs w:val="16"/>
          <w:vertAlign w:val="superscript"/>
        </w:rPr>
        <w:t>-5</w:t>
      </w:r>
      <w:r w:rsidRPr="00995630">
        <w:rPr>
          <w:color w:val="000080"/>
          <w:sz w:val="16"/>
          <w:szCs w:val="16"/>
        </w:rPr>
        <w:t xml:space="preserve"> por hora”. En consecuencia, para un funcionamiento en continuo, la frecuencia anual de fallo es: 10</w:t>
      </w:r>
      <w:r w:rsidRPr="00995630">
        <w:rPr>
          <w:color w:val="000080"/>
          <w:sz w:val="16"/>
          <w:szCs w:val="16"/>
          <w:vertAlign w:val="superscript"/>
        </w:rPr>
        <w:t>-5</w:t>
      </w:r>
      <w:r w:rsidRPr="00995630">
        <w:rPr>
          <w:color w:val="000080"/>
          <w:sz w:val="16"/>
          <w:szCs w:val="16"/>
        </w:rPr>
        <w:t xml:space="preserve"> </w:t>
      </w:r>
      <w:r w:rsidRPr="00995630">
        <w:rPr>
          <w:color w:val="000080"/>
          <w:sz w:val="16"/>
          <w:szCs w:val="16"/>
        </w:rPr>
        <w:sym w:font="Symbol" w:char="F0B4"/>
      </w:r>
      <w:r w:rsidRPr="00995630">
        <w:rPr>
          <w:color w:val="000080"/>
          <w:sz w:val="16"/>
          <w:szCs w:val="16"/>
        </w:rPr>
        <w:t xml:space="preserve"> 8760 ≈ 10</w:t>
      </w:r>
      <w:r w:rsidRPr="00995630">
        <w:rPr>
          <w:color w:val="000080"/>
          <w:sz w:val="16"/>
          <w:szCs w:val="16"/>
          <w:vertAlign w:val="superscript"/>
        </w:rPr>
        <w:t>-1</w:t>
      </w:r>
      <w:r w:rsidRPr="00995630">
        <w:rPr>
          <w:color w:val="000080"/>
          <w:sz w:val="16"/>
          <w:szCs w:val="16"/>
        </w:rPr>
        <w:t>año</w:t>
      </w:r>
      <w:r w:rsidRPr="00995630">
        <w:rPr>
          <w:color w:val="000080"/>
          <w:sz w:val="16"/>
          <w:szCs w:val="16"/>
          <w:vertAlign w:val="superscript"/>
        </w:rPr>
        <w:t>-1</w:t>
      </w:r>
      <w:r w:rsidRPr="00995630">
        <w:rPr>
          <w:color w:val="000080"/>
          <w:sz w:val="16"/>
          <w:szCs w:val="16"/>
        </w:rPr>
        <w:t xml:space="preserve"> o 1oo10.</w:t>
      </w:r>
    </w:p>
  </w:footnote>
  <w:footnote w:id="2">
    <w:p w:rsidR="00DF238E" w:rsidRDefault="00DF238E" w:rsidP="00BA6A0C">
      <w:pPr>
        <w:spacing w:before="0" w:after="0" w:line="240" w:lineRule="auto"/>
      </w:pPr>
      <w:r w:rsidRPr="00E035A8">
        <w:rPr>
          <w:rStyle w:val="Refdenotaalpie"/>
          <w:rFonts w:cs="Arial"/>
          <w:b/>
        </w:rPr>
        <w:footnoteRef/>
      </w:r>
      <w:r>
        <w:t xml:space="preserve"> </w:t>
      </w:r>
      <w:r w:rsidRPr="008F2FD7">
        <w:rPr>
          <w:color w:val="000080"/>
          <w:sz w:val="16"/>
          <w:szCs w:val="16"/>
        </w:rPr>
        <w:t>El factor de reducción de</w:t>
      </w:r>
      <w:r>
        <w:rPr>
          <w:color w:val="000080"/>
          <w:sz w:val="16"/>
          <w:szCs w:val="16"/>
        </w:rPr>
        <w:t>l</w:t>
      </w:r>
      <w:r w:rsidRPr="008F2FD7">
        <w:rPr>
          <w:color w:val="000080"/>
          <w:sz w:val="16"/>
          <w:szCs w:val="16"/>
        </w:rPr>
        <w:t xml:space="preserve"> riesgo (inversa de la PFD) del BPCS está regulado por</w:t>
      </w:r>
      <w:r>
        <w:rPr>
          <w:color w:val="000080"/>
          <w:sz w:val="16"/>
          <w:szCs w:val="16"/>
        </w:rPr>
        <w:t xml:space="preserve"> la norma</w:t>
      </w:r>
      <w:r w:rsidRPr="008F2FD7">
        <w:rPr>
          <w:color w:val="000080"/>
          <w:sz w:val="16"/>
          <w:szCs w:val="16"/>
        </w:rPr>
        <w:t xml:space="preserve"> IEC 61511 §9.4.2: “El factor de reducción de riesgo para un BPCS (que no satisface las normas IEC 61511 o IEC 61508) usado como capa de protección debe estar por debajo de 10“ e IEC 61511 §9.4.3 “Si se reivindica para un BPCS un factor de reducción superior a 10, se debe diseñar según los requisitos de esta norma</w:t>
      </w:r>
      <w:r w:rsidRPr="008F2FD7">
        <w:rPr>
          <w:color w:val="000080"/>
        </w:rPr>
        <w:t>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6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28"/>
      <w:gridCol w:w="4860"/>
      <w:gridCol w:w="1976"/>
    </w:tblGrid>
    <w:tr w:rsidR="00DF238E" w:rsidRPr="00065BE9" w:rsidTr="00EF5BA6">
      <w:trPr>
        <w:trHeight w:val="532"/>
      </w:trPr>
      <w:tc>
        <w:tcPr>
          <w:tcW w:w="2628" w:type="dxa"/>
          <w:vMerge w:val="restart"/>
        </w:tcPr>
        <w:p w:rsidR="00DF238E" w:rsidRPr="00C4240F" w:rsidRDefault="00FD32D7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rPr>
              <w:sz w:val="6"/>
              <w:szCs w:val="6"/>
            </w:rPr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96520</wp:posOffset>
                </wp:positionH>
                <wp:positionV relativeFrom="line">
                  <wp:posOffset>102870</wp:posOffset>
                </wp:positionV>
                <wp:extent cx="1257300" cy="457200"/>
                <wp:effectExtent l="0" t="0" r="0" b="0"/>
                <wp:wrapNone/>
                <wp:docPr id="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60" w:type="dxa"/>
          <w:vMerge w:val="restart"/>
          <w:vAlign w:val="center"/>
        </w:tcPr>
        <w:p w:rsidR="00DF238E" w:rsidRPr="00CE2762" w:rsidRDefault="00DF238E" w:rsidP="006951A2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  <w:sz w:val="18"/>
              <w:szCs w:val="18"/>
            </w:rPr>
          </w:pPr>
          <w:r w:rsidRPr="00CE2762">
            <w:rPr>
              <w:b/>
              <w:sz w:val="18"/>
              <w:szCs w:val="18"/>
            </w:rPr>
            <w:t>FRECUENCIA DE EVENTOS INICIADORES PROBABILIDAD DE EVENTOS CONDICIONANTES PROBABILIDAD DE FALLO EN DEMANDA</w:t>
          </w:r>
          <w:r>
            <w:rPr>
              <w:b/>
              <w:sz w:val="18"/>
              <w:szCs w:val="18"/>
            </w:rPr>
            <w:t xml:space="preserve"> DE IPLs</w:t>
          </w:r>
        </w:p>
      </w:tc>
      <w:tc>
        <w:tcPr>
          <w:tcW w:w="1976" w:type="dxa"/>
          <w:vAlign w:val="center"/>
        </w:tcPr>
        <w:p w:rsidR="00DF238E" w:rsidRPr="00204BB8" w:rsidRDefault="00DF238E" w:rsidP="00CE2762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</w:rPr>
          </w:pPr>
          <w:r>
            <w:rPr>
              <w:b/>
            </w:rPr>
            <w:t>ANEXO A</w:t>
          </w:r>
        </w:p>
      </w:tc>
    </w:tr>
    <w:tr w:rsidR="00DF238E" w:rsidRPr="00065BE9" w:rsidTr="00EF5BA6">
      <w:trPr>
        <w:trHeight w:val="527"/>
      </w:trPr>
      <w:tc>
        <w:tcPr>
          <w:tcW w:w="2628" w:type="dxa"/>
          <w:vMerge/>
        </w:tcPr>
        <w:p w:rsidR="00DF238E" w:rsidRPr="00065BE9" w:rsidRDefault="00DF238E" w:rsidP="00C0164D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line="240" w:lineRule="auto"/>
          </w:pPr>
        </w:p>
      </w:tc>
      <w:tc>
        <w:tcPr>
          <w:tcW w:w="4860" w:type="dxa"/>
          <w:vMerge/>
          <w:vAlign w:val="center"/>
        </w:tcPr>
        <w:p w:rsidR="00DF238E" w:rsidRPr="00065BE9" w:rsidRDefault="00DF238E" w:rsidP="00C0164D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line="240" w:lineRule="auto"/>
          </w:pPr>
        </w:p>
      </w:tc>
      <w:tc>
        <w:tcPr>
          <w:tcW w:w="1976" w:type="dxa"/>
          <w:vAlign w:val="center"/>
        </w:tcPr>
        <w:p w:rsidR="00DF238E" w:rsidRPr="00204BB8" w:rsidRDefault="00C930E3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</w:rPr>
          </w:pPr>
          <w:r>
            <w:rPr>
              <w:b/>
              <w:sz w:val="18"/>
            </w:rPr>
            <w:t>PG-1-</w:t>
          </w:r>
          <w:r w:rsidR="00413F09">
            <w:rPr>
              <w:b/>
              <w:sz w:val="18"/>
            </w:rPr>
            <w:t>DGSMS-80</w:t>
          </w:r>
        </w:p>
      </w:tc>
    </w:tr>
  </w:tbl>
  <w:p w:rsidR="00DF238E" w:rsidRDefault="00DF238E" w:rsidP="00204BB8">
    <w:pPr>
      <w:pStyle w:val="Encabezado"/>
      <w:spacing w:before="0"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1093"/>
    <w:multiLevelType w:val="hybridMultilevel"/>
    <w:tmpl w:val="436618C2"/>
    <w:lvl w:ilvl="0" w:tplc="0B145268">
      <w:start w:val="1"/>
      <w:numFmt w:val="upperLetter"/>
      <w:lvlText w:val="%1."/>
      <w:lvlJc w:val="left"/>
      <w:pPr>
        <w:tabs>
          <w:tab w:val="num" w:pos="1287"/>
        </w:tabs>
        <w:ind w:left="1287" w:hanging="360"/>
      </w:pPr>
      <w:rPr>
        <w:rFonts w:ascii="Arial Negrita" w:hAnsi="Arial Negrita" w:cs="Times New Roman"/>
        <w:b/>
      </w:rPr>
    </w:lvl>
    <w:lvl w:ilvl="1" w:tplc="040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" w15:restartNumberingAfterBreak="0">
    <w:nsid w:val="156A27CF"/>
    <w:multiLevelType w:val="hybridMultilevel"/>
    <w:tmpl w:val="B20CFFC8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" w15:restartNumberingAfterBreak="0">
    <w:nsid w:val="16E4580F"/>
    <w:multiLevelType w:val="hybridMultilevel"/>
    <w:tmpl w:val="F5C06A84"/>
    <w:lvl w:ilvl="0" w:tplc="0C0A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17315D89"/>
    <w:multiLevelType w:val="hybridMultilevel"/>
    <w:tmpl w:val="4484C87C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1787FD6"/>
    <w:multiLevelType w:val="hybridMultilevel"/>
    <w:tmpl w:val="49B053E8"/>
    <w:lvl w:ilvl="0" w:tplc="0C0A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45D23B45"/>
    <w:multiLevelType w:val="hybridMultilevel"/>
    <w:tmpl w:val="1624DCE6"/>
    <w:lvl w:ilvl="0" w:tplc="04090005">
      <w:start w:val="1"/>
      <w:numFmt w:val="bullet"/>
      <w:lvlText w:val=""/>
      <w:lvlJc w:val="left"/>
      <w:pPr>
        <w:tabs>
          <w:tab w:val="num" w:pos="363"/>
        </w:tabs>
        <w:ind w:left="363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4D8E0EE4"/>
    <w:multiLevelType w:val="hybridMultilevel"/>
    <w:tmpl w:val="C1C67068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D800669"/>
    <w:multiLevelType w:val="hybridMultilevel"/>
    <w:tmpl w:val="4348797E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2270646"/>
    <w:multiLevelType w:val="hybridMultilevel"/>
    <w:tmpl w:val="BE1CD1BE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DC"/>
    <w:rsid w:val="00026A53"/>
    <w:rsid w:val="000451C8"/>
    <w:rsid w:val="00064933"/>
    <w:rsid w:val="00065BE9"/>
    <w:rsid w:val="00076A22"/>
    <w:rsid w:val="000B6F18"/>
    <w:rsid w:val="000C3AD9"/>
    <w:rsid w:val="000D437E"/>
    <w:rsid w:val="000D73DC"/>
    <w:rsid w:val="000E1952"/>
    <w:rsid w:val="00105C18"/>
    <w:rsid w:val="00107655"/>
    <w:rsid w:val="00107DC3"/>
    <w:rsid w:val="00136576"/>
    <w:rsid w:val="00140416"/>
    <w:rsid w:val="00196B09"/>
    <w:rsid w:val="001E1614"/>
    <w:rsid w:val="001E22C7"/>
    <w:rsid w:val="00201CA0"/>
    <w:rsid w:val="00204BB8"/>
    <w:rsid w:val="00224FC1"/>
    <w:rsid w:val="002419C3"/>
    <w:rsid w:val="00253C10"/>
    <w:rsid w:val="00274AF8"/>
    <w:rsid w:val="00281773"/>
    <w:rsid w:val="00285AFA"/>
    <w:rsid w:val="002B4458"/>
    <w:rsid w:val="002B6AF9"/>
    <w:rsid w:val="002C1526"/>
    <w:rsid w:val="002D4B58"/>
    <w:rsid w:val="002E295F"/>
    <w:rsid w:val="00301DF1"/>
    <w:rsid w:val="003069DA"/>
    <w:rsid w:val="00314D91"/>
    <w:rsid w:val="00344D59"/>
    <w:rsid w:val="00364BCC"/>
    <w:rsid w:val="0037283A"/>
    <w:rsid w:val="00385896"/>
    <w:rsid w:val="003A38E8"/>
    <w:rsid w:val="003A6D05"/>
    <w:rsid w:val="003D7121"/>
    <w:rsid w:val="003F15AB"/>
    <w:rsid w:val="00413F09"/>
    <w:rsid w:val="00430439"/>
    <w:rsid w:val="00446016"/>
    <w:rsid w:val="00447197"/>
    <w:rsid w:val="004A1A53"/>
    <w:rsid w:val="004A1FF0"/>
    <w:rsid w:val="004A25C2"/>
    <w:rsid w:val="004B6DB5"/>
    <w:rsid w:val="004E15F6"/>
    <w:rsid w:val="00503379"/>
    <w:rsid w:val="00536466"/>
    <w:rsid w:val="00580729"/>
    <w:rsid w:val="00581A2E"/>
    <w:rsid w:val="005C4372"/>
    <w:rsid w:val="005E29F7"/>
    <w:rsid w:val="005F4FA1"/>
    <w:rsid w:val="00607BA1"/>
    <w:rsid w:val="00655C87"/>
    <w:rsid w:val="006951A2"/>
    <w:rsid w:val="00700E2E"/>
    <w:rsid w:val="00707040"/>
    <w:rsid w:val="00723E98"/>
    <w:rsid w:val="00736686"/>
    <w:rsid w:val="00754C0F"/>
    <w:rsid w:val="00771815"/>
    <w:rsid w:val="00775154"/>
    <w:rsid w:val="007F58D5"/>
    <w:rsid w:val="008279A3"/>
    <w:rsid w:val="008712FF"/>
    <w:rsid w:val="00881AB8"/>
    <w:rsid w:val="0088274A"/>
    <w:rsid w:val="008C3240"/>
    <w:rsid w:val="008C5FEC"/>
    <w:rsid w:val="008F1F58"/>
    <w:rsid w:val="008F2FD7"/>
    <w:rsid w:val="00905EFF"/>
    <w:rsid w:val="00907398"/>
    <w:rsid w:val="00943A7B"/>
    <w:rsid w:val="00945BC3"/>
    <w:rsid w:val="00983C34"/>
    <w:rsid w:val="00995630"/>
    <w:rsid w:val="009F2FA2"/>
    <w:rsid w:val="00A01886"/>
    <w:rsid w:val="00A42440"/>
    <w:rsid w:val="00A75C97"/>
    <w:rsid w:val="00AC5ECE"/>
    <w:rsid w:val="00AD6C85"/>
    <w:rsid w:val="00B04187"/>
    <w:rsid w:val="00B46777"/>
    <w:rsid w:val="00B54F87"/>
    <w:rsid w:val="00B8052E"/>
    <w:rsid w:val="00B97CE2"/>
    <w:rsid w:val="00BA6A0C"/>
    <w:rsid w:val="00BB3E3E"/>
    <w:rsid w:val="00BF6A4A"/>
    <w:rsid w:val="00C0164D"/>
    <w:rsid w:val="00C329D2"/>
    <w:rsid w:val="00C4240F"/>
    <w:rsid w:val="00C524FE"/>
    <w:rsid w:val="00C674EE"/>
    <w:rsid w:val="00C930E3"/>
    <w:rsid w:val="00CD433F"/>
    <w:rsid w:val="00CE2762"/>
    <w:rsid w:val="00CE76BE"/>
    <w:rsid w:val="00D064F5"/>
    <w:rsid w:val="00D20ABD"/>
    <w:rsid w:val="00D32028"/>
    <w:rsid w:val="00D36844"/>
    <w:rsid w:val="00DB2065"/>
    <w:rsid w:val="00DF238E"/>
    <w:rsid w:val="00E035A8"/>
    <w:rsid w:val="00E216A6"/>
    <w:rsid w:val="00E34B0C"/>
    <w:rsid w:val="00E62135"/>
    <w:rsid w:val="00EB223F"/>
    <w:rsid w:val="00EB7A97"/>
    <w:rsid w:val="00EC00CB"/>
    <w:rsid w:val="00EC52D6"/>
    <w:rsid w:val="00EC5FEC"/>
    <w:rsid w:val="00ED2200"/>
    <w:rsid w:val="00EF5BA6"/>
    <w:rsid w:val="00F177F8"/>
    <w:rsid w:val="00F27541"/>
    <w:rsid w:val="00F403B2"/>
    <w:rsid w:val="00F45E22"/>
    <w:rsid w:val="00F67DB7"/>
    <w:rsid w:val="00F83F19"/>
    <w:rsid w:val="00FA6323"/>
    <w:rsid w:val="00FC408A"/>
    <w:rsid w:val="00FC6C07"/>
    <w:rsid w:val="00FD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282AB617-D00B-4DCF-9516-7DB3E6065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3DC"/>
    <w:pPr>
      <w:spacing w:before="120" w:after="240" w:line="360" w:lineRule="auto"/>
      <w:jc w:val="both"/>
    </w:pPr>
    <w:rPr>
      <w:rFonts w:ascii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945BC3"/>
    <w:pPr>
      <w:spacing w:before="0" w:after="0"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201CA0"/>
    <w:rPr>
      <w:rFonts w:cs="Arial"/>
      <w:sz w:val="2"/>
    </w:rPr>
  </w:style>
  <w:style w:type="paragraph" w:styleId="Encabezado">
    <w:name w:val="header"/>
    <w:basedOn w:val="Normal"/>
    <w:link w:val="Encabezado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D2200"/>
    <w:rPr>
      <w:rFonts w:ascii="Arial" w:hAnsi="Arial" w:cs="Arial"/>
    </w:rPr>
  </w:style>
  <w:style w:type="paragraph" w:styleId="Piedepgina">
    <w:name w:val="footer"/>
    <w:basedOn w:val="Normal"/>
    <w:link w:val="Piedepgina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D2200"/>
    <w:rPr>
      <w:rFonts w:ascii="Arial" w:hAnsi="Arial" w:cs="Arial"/>
    </w:rPr>
  </w:style>
  <w:style w:type="paragraph" w:styleId="Textoindependiente2">
    <w:name w:val="Body Text 2"/>
    <w:basedOn w:val="Normal"/>
    <w:link w:val="Textoindependiente2Car"/>
    <w:uiPriority w:val="99"/>
    <w:rsid w:val="00B97CE2"/>
    <w:pPr>
      <w:spacing w:before="40" w:after="40"/>
    </w:pPr>
    <w:rPr>
      <w:rFonts w:cs="Times New Roman"/>
      <w:sz w:val="24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B97CE2"/>
    <w:rPr>
      <w:rFonts w:ascii="Arial" w:hAnsi="Arial" w:cs="Times New Roman"/>
      <w:sz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4A25C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D2200"/>
    <w:rPr>
      <w:rFonts w:ascii="Arial" w:hAnsi="Arial" w:cs="Arial"/>
    </w:rPr>
  </w:style>
  <w:style w:type="character" w:styleId="Nmerodepgina">
    <w:name w:val="page number"/>
    <w:basedOn w:val="Fuentedeprrafopredeter"/>
    <w:uiPriority w:val="99"/>
    <w:rsid w:val="00C524FE"/>
    <w:rPr>
      <w:rFonts w:cs="Times New Roman"/>
    </w:rPr>
  </w:style>
  <w:style w:type="character" w:styleId="Refdenotaalpie">
    <w:name w:val="footnote reference"/>
    <w:basedOn w:val="Fuentedeprrafopredeter"/>
    <w:uiPriority w:val="99"/>
    <w:semiHidden/>
    <w:rsid w:val="00BB3E3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1050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TEMA, S.A.</dc:creator>
  <cp:keywords/>
  <dc:description/>
  <cp:lastModifiedBy>Maya Camacho Mojica</cp:lastModifiedBy>
  <cp:revision>2</cp:revision>
  <cp:lastPrinted>2015-07-30T08:25:00Z</cp:lastPrinted>
  <dcterms:created xsi:type="dcterms:W3CDTF">2023-06-14T12:46:00Z</dcterms:created>
  <dcterms:modified xsi:type="dcterms:W3CDTF">2023-06-14T12:46:00Z</dcterms:modified>
</cp:coreProperties>
</file>